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E952" w14:textId="519AC66A" w:rsidR="00AE53EE" w:rsidRDefault="00AE53EE" w:rsidP="00AE53EE">
      <w:pPr>
        <w:autoSpaceDE w:val="0"/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Programa de Desarrollo 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Agroforestal</w:t>
      </w:r>
      <w:r w:rsidR="007D0BA4">
        <w:rPr>
          <w:rFonts w:ascii="Arial" w:hAnsi="Arial" w:cs="Arial"/>
          <w:spacing w:val="-1"/>
          <w:sz w:val="20"/>
          <w:szCs w:val="20"/>
          <w:lang w:val="es-ES_tradnl"/>
        </w:rPr>
        <w:t xml:space="preserve"> Sostenible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D01EE">
        <w:rPr>
          <w:rFonts w:ascii="Arial" w:hAnsi="Arial" w:cs="Arial"/>
          <w:spacing w:val="-1"/>
          <w:sz w:val="20"/>
          <w:szCs w:val="20"/>
          <w:lang w:val="es-ES_tradnl"/>
        </w:rPr>
        <w:t>Componente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D01EE">
        <w:rPr>
          <w:rFonts w:ascii="Arial" w:hAnsi="Arial" w:cs="Arial"/>
          <w:spacing w:val="-1"/>
          <w:sz w:val="20"/>
          <w:szCs w:val="20"/>
          <w:lang w:val="es-ES_tradnl"/>
        </w:rPr>
        <w:t>I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I,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 Préstamo BID No. 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4553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/OC-DR</w:t>
      </w:r>
    </w:p>
    <w:p w14:paraId="6402DA74" w14:textId="77777777" w:rsidR="00792119" w:rsidRPr="00C84442" w:rsidRDefault="00792119" w:rsidP="00AE53EE">
      <w:pPr>
        <w:jc w:val="center"/>
        <w:rPr>
          <w:rFonts w:ascii="Arial" w:hAnsi="Arial" w:cs="Arial"/>
          <w:spacing w:val="-1"/>
          <w:sz w:val="10"/>
          <w:szCs w:val="10"/>
          <w:lang w:val="es-ES_tradnl"/>
        </w:rPr>
      </w:pPr>
    </w:p>
    <w:p w14:paraId="6B782A4F" w14:textId="30AFD172" w:rsidR="00AE53EE" w:rsidRPr="00CC22A1" w:rsidRDefault="00AE53EE" w:rsidP="00AE53EE">
      <w:pPr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Aviso de Licitación Pública 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Intern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acional No. lp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i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-01-201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9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-caminos-mopc-bid-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4553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-oc-dr </w:t>
      </w:r>
    </w:p>
    <w:p w14:paraId="3B948B89" w14:textId="77777777" w:rsidR="00792119" w:rsidRPr="00C84442" w:rsidRDefault="00792119" w:rsidP="00AE53EE">
      <w:pPr>
        <w:jc w:val="center"/>
        <w:rPr>
          <w:rFonts w:ascii="Arial" w:hAnsi="Arial" w:cs="Arial"/>
          <w:spacing w:val="-1"/>
          <w:sz w:val="10"/>
          <w:szCs w:val="10"/>
          <w:lang w:val="es-ES_tradnl"/>
        </w:rPr>
      </w:pPr>
    </w:p>
    <w:p w14:paraId="7BFBFBD3" w14:textId="330F1D49" w:rsidR="00AE53EE" w:rsidRDefault="00AE53EE" w:rsidP="00AE53EE">
      <w:pPr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Rehabilitación de </w:t>
      </w:r>
      <w:r w:rsidR="008D430B">
        <w:rPr>
          <w:rFonts w:ascii="Arial" w:hAnsi="Arial" w:cs="Arial"/>
          <w:spacing w:val="-1"/>
          <w:sz w:val="20"/>
          <w:szCs w:val="20"/>
          <w:lang w:val="es-ES_tradnl"/>
        </w:rPr>
        <w:t>1</w:t>
      </w:r>
      <w:r w:rsidR="006168CA">
        <w:rPr>
          <w:rFonts w:ascii="Arial" w:hAnsi="Arial" w:cs="Arial"/>
          <w:spacing w:val="-1"/>
          <w:sz w:val="20"/>
          <w:szCs w:val="20"/>
          <w:lang w:val="es-ES_tradnl"/>
        </w:rPr>
        <w:t>11</w:t>
      </w:r>
      <w:r w:rsidR="008D430B">
        <w:rPr>
          <w:rFonts w:ascii="Arial" w:hAnsi="Arial" w:cs="Arial"/>
          <w:spacing w:val="-1"/>
          <w:sz w:val="20"/>
          <w:szCs w:val="20"/>
          <w:lang w:val="es-ES_tradnl"/>
        </w:rPr>
        <w:t>.</w:t>
      </w:r>
      <w:r w:rsidR="006168CA">
        <w:rPr>
          <w:rFonts w:ascii="Arial" w:hAnsi="Arial" w:cs="Arial"/>
          <w:spacing w:val="-1"/>
          <w:sz w:val="20"/>
          <w:szCs w:val="20"/>
          <w:lang w:val="es-ES_tradnl"/>
        </w:rPr>
        <w:t>0</w:t>
      </w:r>
      <w:r w:rsidR="008D430B">
        <w:rPr>
          <w:rFonts w:ascii="Arial" w:hAnsi="Arial" w:cs="Arial"/>
          <w:spacing w:val="-1"/>
          <w:sz w:val="20"/>
          <w:szCs w:val="20"/>
          <w:lang w:val="es-ES_tradnl"/>
        </w:rPr>
        <w:t>0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 Km de Caminos Vecinales</w:t>
      </w:r>
      <w:r w:rsidR="006168CA">
        <w:rPr>
          <w:rFonts w:ascii="Arial" w:hAnsi="Arial" w:cs="Arial"/>
          <w:spacing w:val="-1"/>
          <w:sz w:val="20"/>
          <w:szCs w:val="20"/>
          <w:lang w:val="es-ES_tradnl"/>
        </w:rPr>
        <w:t xml:space="preserve"> Grupo I (Azua y Bahoruco)</w:t>
      </w:r>
    </w:p>
    <w:p w14:paraId="65E35036" w14:textId="77777777" w:rsidR="00C84442" w:rsidRPr="00C84442" w:rsidRDefault="00C84442" w:rsidP="00AE53EE">
      <w:pPr>
        <w:jc w:val="center"/>
        <w:rPr>
          <w:rFonts w:ascii="Arial" w:hAnsi="Arial" w:cs="Arial"/>
          <w:spacing w:val="-1"/>
          <w:sz w:val="10"/>
          <w:szCs w:val="10"/>
          <w:lang w:val="es-ES_tradnl"/>
        </w:rPr>
      </w:pPr>
    </w:p>
    <w:p w14:paraId="1B6A7ED2" w14:textId="77777777" w:rsidR="00C84442" w:rsidRDefault="00C84442" w:rsidP="00C84442">
      <w:pPr>
        <w:jc w:val="both"/>
        <w:rPr>
          <w:rFonts w:ascii="Arial" w:hAnsi="Arial" w:cs="Arial"/>
          <w:spacing w:val="-1"/>
          <w:sz w:val="20"/>
          <w:szCs w:val="20"/>
          <w:lang w:val="es-ES_tradnl"/>
        </w:rPr>
      </w:pPr>
      <w:r>
        <w:rPr>
          <w:rFonts w:ascii="Arial" w:hAnsi="Arial" w:cs="Arial"/>
          <w:spacing w:val="-1"/>
          <w:sz w:val="20"/>
          <w:szCs w:val="20"/>
          <w:lang w:val="es-ES_tradnl"/>
        </w:rPr>
        <w:t>Este llamado a licitación se emite como resultado del Aviso General de Adquisiciones que para este Proyecto fue publicado en el Development Business, IDB686-06/19, de fecha 19/06/2019.</w:t>
      </w:r>
    </w:p>
    <w:p w14:paraId="5F9004A5" w14:textId="77777777" w:rsidR="00C84442" w:rsidRDefault="00C84442" w:rsidP="00C84442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14:paraId="41CA079D" w14:textId="40D050C2" w:rsidR="00AE53EE" w:rsidRDefault="00AE53EE" w:rsidP="00AE53E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>El Estado Dominicano ha recibido financiamiento del Banco Interamericano de Desarrollo</w:t>
      </w:r>
      <w:r w:rsidR="00477124">
        <w:rPr>
          <w:rFonts w:ascii="Arial" w:hAnsi="Arial" w:cs="Arial"/>
          <w:sz w:val="20"/>
          <w:szCs w:val="20"/>
          <w:lang w:val="es-ES_tradnl"/>
        </w:rPr>
        <w:t xml:space="preserve"> (BID)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para la ejecución del Programa de 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Desarrollo 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Agroforestal</w:t>
      </w:r>
      <w:r w:rsidR="007D0BA4">
        <w:rPr>
          <w:rFonts w:ascii="Arial" w:hAnsi="Arial" w:cs="Arial"/>
          <w:spacing w:val="-1"/>
          <w:sz w:val="20"/>
          <w:szCs w:val="20"/>
          <w:lang w:val="es-ES_tradnl"/>
        </w:rPr>
        <w:t xml:space="preserve"> Sostenible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, </w:t>
      </w:r>
      <w:r w:rsidR="00CD01EE">
        <w:rPr>
          <w:rFonts w:ascii="Arial" w:hAnsi="Arial" w:cs="Arial"/>
          <w:spacing w:val="-1"/>
          <w:sz w:val="20"/>
          <w:szCs w:val="20"/>
          <w:lang w:val="es-ES_tradnl"/>
        </w:rPr>
        <w:t>Componente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 I</w:t>
      </w:r>
      <w:r w:rsidR="00CD01EE">
        <w:rPr>
          <w:rFonts w:ascii="Arial" w:hAnsi="Arial" w:cs="Arial"/>
          <w:spacing w:val="-1"/>
          <w:sz w:val="20"/>
          <w:szCs w:val="20"/>
          <w:lang w:val="es-ES_tradnl"/>
        </w:rPr>
        <w:t>I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, mediante el contrato de Préstamo BID No. </w:t>
      </w:r>
      <w:r>
        <w:rPr>
          <w:rFonts w:ascii="Arial" w:hAnsi="Arial" w:cs="Arial"/>
          <w:sz w:val="20"/>
          <w:szCs w:val="20"/>
          <w:lang w:val="es-ES_tradnl"/>
        </w:rPr>
        <w:t>4553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/OC-DR y se propone utilizar parte de los fondos para efectuar pagos elegibles que resulten de </w:t>
      </w:r>
      <w:r w:rsidR="005707F0">
        <w:rPr>
          <w:rFonts w:ascii="Arial" w:hAnsi="Arial" w:cs="Arial"/>
          <w:sz w:val="20"/>
          <w:szCs w:val="20"/>
          <w:lang w:val="es-ES_tradnl"/>
        </w:rPr>
        <w:t>seis</w:t>
      </w:r>
      <w:r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5707F0">
        <w:rPr>
          <w:rFonts w:ascii="Arial" w:hAnsi="Arial" w:cs="Arial"/>
          <w:sz w:val="20"/>
          <w:szCs w:val="20"/>
          <w:lang w:val="es-ES_tradnl"/>
        </w:rPr>
        <w:t>6</w:t>
      </w:r>
      <w:r>
        <w:rPr>
          <w:rFonts w:ascii="Arial" w:hAnsi="Arial" w:cs="Arial"/>
          <w:sz w:val="20"/>
          <w:szCs w:val="20"/>
          <w:lang w:val="es-ES_tradnl"/>
        </w:rPr>
        <w:t>)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contratos p</w:t>
      </w:r>
      <w:r w:rsidR="002143B4">
        <w:rPr>
          <w:rFonts w:ascii="Arial" w:hAnsi="Arial" w:cs="Arial"/>
          <w:sz w:val="20"/>
          <w:szCs w:val="20"/>
          <w:lang w:val="es-ES_tradnl"/>
        </w:rPr>
        <w:t xml:space="preserve">ara las obras de Rehabilitación, </w:t>
      </w:r>
      <w:r w:rsidRPr="009B60DA">
        <w:rPr>
          <w:rFonts w:ascii="Arial" w:hAnsi="Arial" w:cs="Arial"/>
          <w:sz w:val="20"/>
          <w:szCs w:val="20"/>
          <w:lang w:val="es-ES_tradnl"/>
        </w:rPr>
        <w:t xml:space="preserve">según el siguiente </w:t>
      </w:r>
      <w:r w:rsidR="002143B4">
        <w:rPr>
          <w:rFonts w:ascii="Arial" w:hAnsi="Arial" w:cs="Arial"/>
          <w:sz w:val="20"/>
          <w:szCs w:val="20"/>
          <w:lang w:val="es-ES_tradnl"/>
        </w:rPr>
        <w:t>cuadro</w:t>
      </w:r>
      <w:r w:rsidRPr="009B60DA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7E92EB32" w14:textId="77777777" w:rsidR="00AE53EE" w:rsidRPr="00792119" w:rsidRDefault="00AE53EE" w:rsidP="00AE53E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6550"/>
        <w:gridCol w:w="912"/>
        <w:gridCol w:w="1134"/>
      </w:tblGrid>
      <w:tr w:rsidR="00792119" w:rsidRPr="009933A9" w14:paraId="64693623" w14:textId="77777777" w:rsidTr="00792119">
        <w:trPr>
          <w:trHeight w:val="214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A9EA9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Lotes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59C5F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Caminos Vecinales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23482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Longitud Kms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549B4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Provincia</w:t>
            </w:r>
          </w:p>
        </w:tc>
      </w:tr>
      <w:tr w:rsidR="00792119" w:rsidRPr="009933A9" w14:paraId="43BE9783" w14:textId="77777777" w:rsidTr="00792119">
        <w:trPr>
          <w:trHeight w:val="120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4EBBF3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2DF2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(C/</w:t>
            </w:r>
            <w:proofErr w:type="spellStart"/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Carret</w:t>
            </w:r>
            <w:proofErr w:type="spellEnd"/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 Padre Las Casas-Guayabal)-Las Lagunas-El Limón-(Puente Los Milagros)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ED10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8.97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D8799F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Azua</w:t>
            </w:r>
          </w:p>
        </w:tc>
      </w:tr>
      <w:tr w:rsidR="00792119" w:rsidRPr="009933A9" w14:paraId="1FC21374" w14:textId="77777777" w:rsidTr="00792119">
        <w:trPr>
          <w:trHeight w:val="60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1C752C3" w14:textId="77777777" w:rsidR="00792119" w:rsidRPr="009933A9" w:rsidRDefault="00792119" w:rsidP="00C0277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B1F8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El Limón  (Puente los Milagros)-Botoncillo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15FDE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2.64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14:paraId="7607AE99" w14:textId="77777777" w:rsidR="00792119" w:rsidRPr="009933A9" w:rsidRDefault="00792119" w:rsidP="00C0277F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0323A2D1" w14:textId="77777777" w:rsidTr="00792119">
        <w:trPr>
          <w:trHeight w:val="116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37103F5" w14:textId="77777777" w:rsidR="00792119" w:rsidRPr="009933A9" w:rsidRDefault="00792119" w:rsidP="00C0277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BE65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Botoncillo-Las Cañitas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8FDB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0.69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14:paraId="3F03781C" w14:textId="77777777" w:rsidR="00792119" w:rsidRPr="009933A9" w:rsidRDefault="00792119" w:rsidP="00C0277F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0099AA38" w14:textId="77777777" w:rsidTr="00792119">
        <w:trPr>
          <w:trHeight w:val="116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929DAD6" w14:textId="77777777" w:rsidR="00792119" w:rsidRPr="009933A9" w:rsidRDefault="00792119" w:rsidP="00C0277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EBFC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Las Cañitas-Gajo del Monte-La Majaguita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B5C7F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4.94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14:paraId="09B85B77" w14:textId="77777777" w:rsidR="00792119" w:rsidRPr="009933A9" w:rsidRDefault="00792119" w:rsidP="00C0277F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0909AE10" w14:textId="77777777" w:rsidTr="00792119">
        <w:trPr>
          <w:trHeight w:val="103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DD42724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82A5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Las Cañitas-El Tetero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BB1FF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7184486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Azua</w:t>
            </w:r>
          </w:p>
        </w:tc>
      </w:tr>
      <w:tr w:rsidR="00792119" w:rsidRPr="009933A9" w14:paraId="47CF9379" w14:textId="77777777" w:rsidTr="00792119">
        <w:trPr>
          <w:trHeight w:val="103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674612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0B76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El Tetero-Vallecito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B55BA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7.63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7648F05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28079917" w14:textId="77777777" w:rsidTr="00792119">
        <w:trPr>
          <w:trHeight w:val="78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CE6124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6EA7" w14:textId="77777777" w:rsidR="00792119" w:rsidRPr="003C607C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Los Fríos-Los Fríos Medio-Los Fríos Abajo-Hoyito-Montazo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4AB40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5.71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CA6814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Azua</w:t>
            </w:r>
          </w:p>
        </w:tc>
      </w:tr>
      <w:tr w:rsidR="00792119" w:rsidRPr="009933A9" w14:paraId="7E3A72D8" w14:textId="77777777" w:rsidTr="00792119">
        <w:trPr>
          <w:trHeight w:val="78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88C851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B7C7" w14:textId="77777777" w:rsidR="00792119" w:rsidRPr="009933A9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Los Fríos-Los Guayuyos-Las Lajas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F804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12.80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CD2635C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6CA43459" w14:textId="77777777" w:rsidTr="00792119">
        <w:trPr>
          <w:trHeight w:val="78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54D20A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8FFF" w14:textId="77777777" w:rsidR="00792119" w:rsidRPr="009933A9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92F4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Los Guayuyos-Ramal a </w:t>
            </w:r>
            <w:proofErr w:type="spellStart"/>
            <w:r w:rsidRPr="00292F4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Cucaritas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2803E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1.96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10EB78B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4D248601" w14:textId="77777777" w:rsidTr="00792119">
        <w:trPr>
          <w:trHeight w:val="78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9CF6EF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1DCB" w14:textId="77777777" w:rsidR="00792119" w:rsidRPr="009933A9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Los Ríos-Higo de la Cruz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901B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20.24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C1F058A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Bahoruco</w:t>
            </w:r>
          </w:p>
        </w:tc>
      </w:tr>
      <w:tr w:rsidR="00792119" w:rsidRPr="009933A9" w14:paraId="1DFB5679" w14:textId="77777777" w:rsidTr="00792119">
        <w:trPr>
          <w:trHeight w:val="50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A14D84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A7FB" w14:textId="77777777" w:rsidR="00792119" w:rsidRPr="009933A9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Las Cañas-Las Petacas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FD41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6.81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0656C60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Bahoruco</w:t>
            </w:r>
          </w:p>
        </w:tc>
      </w:tr>
      <w:tr w:rsidR="00792119" w:rsidRPr="009933A9" w14:paraId="1555DB90" w14:textId="77777777" w:rsidTr="00792119">
        <w:trPr>
          <w:trHeight w:val="78"/>
          <w:jc w:val="center"/>
        </w:trPr>
        <w:tc>
          <w:tcPr>
            <w:tcW w:w="10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313141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6786" w14:textId="77777777" w:rsidR="00792119" w:rsidRPr="009933A9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C607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Villa Jaragua-El Barro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AA2F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14.95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7E7B88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792119" w:rsidRPr="009933A9" w14:paraId="37FDE817" w14:textId="77777777" w:rsidTr="00792119">
        <w:trPr>
          <w:trHeight w:val="78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822D8B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FA25" w14:textId="77777777" w:rsidR="00792119" w:rsidRPr="009933A9" w:rsidRDefault="00792119" w:rsidP="00C0277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Salida de Cabirmal-Gritería-Batista-Los Arroyitos-Mundito-La Rosa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6C98" w14:textId="77777777" w:rsidR="00792119" w:rsidRPr="009933A9" w:rsidRDefault="00792119" w:rsidP="00C027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933A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19.24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B3D4F7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9933A9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Bahoruco</w:t>
            </w:r>
          </w:p>
        </w:tc>
      </w:tr>
      <w:tr w:rsidR="00792119" w:rsidRPr="009933A9" w14:paraId="65725FFB" w14:textId="77777777" w:rsidTr="00792119">
        <w:trPr>
          <w:trHeight w:val="78"/>
          <w:jc w:val="center"/>
        </w:trPr>
        <w:tc>
          <w:tcPr>
            <w:tcW w:w="75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228A4" w14:textId="6C290ABC" w:rsidR="00792119" w:rsidRPr="00792119" w:rsidRDefault="00792119" w:rsidP="0079211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921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 General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2BA5" w14:textId="7BD31899" w:rsidR="00792119" w:rsidRPr="00792119" w:rsidRDefault="00792119" w:rsidP="00C0277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921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111.00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14:paraId="431706F3" w14:textId="77777777" w:rsidR="00792119" w:rsidRPr="009933A9" w:rsidRDefault="00792119" w:rsidP="00C027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</w:tbl>
    <w:p w14:paraId="6E696EFA" w14:textId="77777777" w:rsidR="00AE53EE" w:rsidRPr="00C84442" w:rsidRDefault="00AE53EE" w:rsidP="00AE53EE">
      <w:pPr>
        <w:autoSpaceDE w:val="0"/>
        <w:adjustRightInd w:val="0"/>
        <w:jc w:val="both"/>
        <w:rPr>
          <w:rFonts w:ascii="Arial" w:hAnsi="Arial" w:cs="Arial"/>
          <w:sz w:val="10"/>
          <w:szCs w:val="10"/>
          <w:lang w:val="es-ES_tradnl"/>
        </w:rPr>
      </w:pPr>
    </w:p>
    <w:p w14:paraId="5DD36CF2" w14:textId="59ACDCA8" w:rsidR="00AE53EE" w:rsidRPr="00CC22A1" w:rsidRDefault="00AE53EE" w:rsidP="00AE53EE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 xml:space="preserve">El Ministerio de Obras Públicas y Comunicaciones (MOPC), a través de la Oficina del Coordinador General de Proyectos Financiados con Recursos Externos (OCGPFRE), invita </w:t>
      </w:r>
      <w:r w:rsidRPr="00CC22A1">
        <w:rPr>
          <w:rFonts w:ascii="Arial" w:hAnsi="Arial" w:cs="Arial"/>
          <w:b/>
          <w:sz w:val="20"/>
          <w:szCs w:val="20"/>
          <w:lang w:val="es-ES_tradnl"/>
        </w:rPr>
        <w:t>a empresas constructoras de obras viales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7C5898">
        <w:rPr>
          <w:rFonts w:ascii="Arial" w:hAnsi="Arial" w:cs="Arial"/>
          <w:sz w:val="20"/>
          <w:szCs w:val="20"/>
          <w:lang w:val="es-ES_tradnl"/>
        </w:rPr>
        <w:t>participar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en </w:t>
      </w:r>
      <w:r w:rsidR="002143B4" w:rsidRPr="00CC22A1">
        <w:rPr>
          <w:rFonts w:ascii="Arial" w:hAnsi="Arial" w:cs="Arial"/>
          <w:sz w:val="20"/>
          <w:szCs w:val="20"/>
          <w:lang w:val="es-ES_tradnl"/>
        </w:rPr>
        <w:t>est</w:t>
      </w:r>
      <w:r w:rsidR="002143B4">
        <w:rPr>
          <w:rFonts w:ascii="Arial" w:hAnsi="Arial" w:cs="Arial"/>
          <w:sz w:val="20"/>
          <w:szCs w:val="20"/>
          <w:lang w:val="es-ES_tradnl"/>
        </w:rPr>
        <w:t>e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C5898">
        <w:rPr>
          <w:rFonts w:ascii="Arial" w:hAnsi="Arial" w:cs="Arial"/>
          <w:sz w:val="20"/>
          <w:szCs w:val="20"/>
          <w:lang w:val="es-ES_tradnl"/>
        </w:rPr>
        <w:t>proceso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CC22A1">
        <w:rPr>
          <w:rFonts w:ascii="Arial" w:hAnsi="Arial" w:cs="Arial"/>
          <w:color w:val="000000"/>
          <w:sz w:val="20"/>
          <w:szCs w:val="20"/>
          <w:lang w:val="es-ES_tradnl"/>
        </w:rPr>
        <w:t xml:space="preserve">Los Contratos, previstos </w:t>
      </w:r>
      <w:r>
        <w:rPr>
          <w:rFonts w:ascii="Arial" w:hAnsi="Arial" w:cs="Arial"/>
          <w:sz w:val="20"/>
          <w:szCs w:val="20"/>
          <w:lang w:val="es-ES_tradnl"/>
        </w:rPr>
        <w:t xml:space="preserve">a iniciar en el </w:t>
      </w:r>
      <w:r w:rsidR="00716EAC">
        <w:rPr>
          <w:rFonts w:ascii="Arial" w:hAnsi="Arial" w:cs="Arial"/>
          <w:sz w:val="20"/>
          <w:szCs w:val="20"/>
          <w:lang w:val="es-ES_tradnl"/>
        </w:rPr>
        <w:t>primer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trimestre del 20</w:t>
      </w:r>
      <w:r w:rsidR="00716EAC">
        <w:rPr>
          <w:rFonts w:ascii="Arial" w:hAnsi="Arial" w:cs="Arial"/>
          <w:sz w:val="20"/>
          <w:szCs w:val="20"/>
          <w:lang w:val="es-ES_tradnl"/>
        </w:rPr>
        <w:t>20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, tendrán una </w:t>
      </w:r>
      <w:r w:rsidRPr="00CC22A1">
        <w:rPr>
          <w:rFonts w:ascii="Arial" w:hAnsi="Arial" w:cs="Arial"/>
          <w:color w:val="000000"/>
          <w:sz w:val="20"/>
          <w:szCs w:val="20"/>
          <w:lang w:val="es-ES_tradnl"/>
        </w:rPr>
        <w:t xml:space="preserve">duración de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doce</w:t>
      </w:r>
      <w:r w:rsidRPr="00CC22A1">
        <w:rPr>
          <w:rFonts w:ascii="Arial" w:hAnsi="Arial" w:cs="Arial"/>
          <w:color w:val="000000"/>
          <w:sz w:val="20"/>
          <w:szCs w:val="20"/>
          <w:lang w:val="es-ES_tradnl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12</w:t>
      </w:r>
      <w:r w:rsidR="00792119">
        <w:rPr>
          <w:rFonts w:ascii="Arial" w:hAnsi="Arial" w:cs="Arial"/>
          <w:color w:val="000000"/>
          <w:sz w:val="20"/>
          <w:szCs w:val="20"/>
          <w:lang w:val="es-ES_tradnl"/>
        </w:rPr>
        <w:t>) meses.</w:t>
      </w:r>
    </w:p>
    <w:p w14:paraId="13077122" w14:textId="77777777" w:rsidR="00AE53EE" w:rsidRPr="00151190" w:rsidRDefault="00AE53EE" w:rsidP="00AE53EE">
      <w:pPr>
        <w:autoSpaceDE w:val="0"/>
        <w:jc w:val="both"/>
        <w:rPr>
          <w:rFonts w:ascii="Arial" w:hAnsi="Arial" w:cs="Arial"/>
          <w:sz w:val="10"/>
          <w:szCs w:val="10"/>
          <w:lang w:val="es-ES_tradnl"/>
        </w:rPr>
      </w:pPr>
    </w:p>
    <w:p w14:paraId="1F8BEA70" w14:textId="018FC296" w:rsidR="00AE53EE" w:rsidRPr="00CC22A1" w:rsidRDefault="002143B4" w:rsidP="00AE53EE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Est</w:t>
      </w:r>
      <w:r w:rsidR="00AE53EE" w:rsidRPr="00CC22A1">
        <w:rPr>
          <w:rFonts w:ascii="Arial" w:hAnsi="Arial" w:cs="Arial"/>
          <w:sz w:val="20"/>
          <w:szCs w:val="20"/>
          <w:lang w:val="es-ES_tradnl"/>
        </w:rPr>
        <w:t xml:space="preserve">a Licitación Pública </w:t>
      </w:r>
      <w:r w:rsidR="00AE53EE">
        <w:rPr>
          <w:rFonts w:ascii="Arial" w:hAnsi="Arial" w:cs="Arial"/>
          <w:sz w:val="20"/>
          <w:szCs w:val="20"/>
          <w:lang w:val="es-ES_tradnl"/>
        </w:rPr>
        <w:t>Intern</w:t>
      </w:r>
      <w:r w:rsidR="00AE53EE" w:rsidRPr="00CC22A1">
        <w:rPr>
          <w:rFonts w:ascii="Arial" w:hAnsi="Arial" w:cs="Arial"/>
          <w:sz w:val="20"/>
          <w:szCs w:val="20"/>
          <w:lang w:val="es-ES_tradnl"/>
        </w:rPr>
        <w:t>acional (LP</w:t>
      </w:r>
      <w:r w:rsidR="00AE53EE">
        <w:rPr>
          <w:rFonts w:ascii="Arial" w:hAnsi="Arial" w:cs="Arial"/>
          <w:sz w:val="20"/>
          <w:szCs w:val="20"/>
          <w:lang w:val="es-ES_tradnl"/>
        </w:rPr>
        <w:t>I</w:t>
      </w:r>
      <w:r w:rsidR="00AE53EE" w:rsidRPr="00CC22A1">
        <w:rPr>
          <w:rFonts w:ascii="Arial" w:hAnsi="Arial" w:cs="Arial"/>
          <w:sz w:val="20"/>
          <w:szCs w:val="20"/>
          <w:lang w:val="es-ES_tradnl"/>
        </w:rPr>
        <w:t xml:space="preserve">), se efectuará conforme a los procedimientos establecidos en las Políticas para la Adquisición de Obras y Bienes Financiados por el Banco Interamericano de Desarrollo, Documento GN-2349-9 y podrán participar en ella todos los oferentes de países miembros del BID, elegibles según dichas políticas. </w:t>
      </w:r>
    </w:p>
    <w:p w14:paraId="55AD904B" w14:textId="77777777" w:rsidR="00AE53EE" w:rsidRPr="00151190" w:rsidRDefault="00AE53EE" w:rsidP="00AE53EE">
      <w:pPr>
        <w:autoSpaceDE w:val="0"/>
        <w:jc w:val="both"/>
        <w:rPr>
          <w:rFonts w:ascii="Arial" w:hAnsi="Arial" w:cs="Arial"/>
          <w:sz w:val="10"/>
          <w:szCs w:val="10"/>
          <w:lang w:val="es-ES_tradnl"/>
        </w:rPr>
      </w:pPr>
    </w:p>
    <w:p w14:paraId="7E8583A1" w14:textId="5D834D5D" w:rsidR="00AE53EE" w:rsidRDefault="00AE53EE" w:rsidP="00AE53EE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>Los interesados pueden consultar y descargar el Documento</w:t>
      </w:r>
      <w:r>
        <w:rPr>
          <w:rFonts w:ascii="Arial" w:hAnsi="Arial" w:cs="Arial"/>
          <w:sz w:val="20"/>
          <w:szCs w:val="20"/>
          <w:lang w:val="es-ES_tradnl"/>
        </w:rPr>
        <w:t xml:space="preserve"> de Licitación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correspondiente en la página Web del MOPC, </w:t>
      </w:r>
      <w:hyperlink r:id="rId6" w:history="1">
        <w:r w:rsidRPr="00CC22A1">
          <w:rPr>
            <w:rFonts w:ascii="Arial" w:hAnsi="Arial" w:cs="Arial"/>
            <w:color w:val="0000FF"/>
            <w:sz w:val="20"/>
            <w:szCs w:val="20"/>
            <w:lang w:val="es-ES_tradnl"/>
          </w:rPr>
          <w:t>www.mopc.gob.do</w:t>
        </w:r>
      </w:hyperlink>
      <w:r w:rsidRPr="00CC22A1">
        <w:rPr>
          <w:rFonts w:ascii="Arial" w:hAnsi="Arial" w:cs="Arial"/>
          <w:sz w:val="20"/>
          <w:szCs w:val="20"/>
          <w:lang w:val="es-ES_tradnl"/>
        </w:rPr>
        <w:t xml:space="preserve"> en el link Licitaciones</w:t>
      </w:r>
      <w:r w:rsidR="002143B4">
        <w:rPr>
          <w:rFonts w:ascii="Arial" w:hAnsi="Arial" w:cs="Arial"/>
          <w:sz w:val="20"/>
          <w:szCs w:val="20"/>
          <w:lang w:val="es-ES_tradnl"/>
        </w:rPr>
        <w:t>, Proyecto</w:t>
      </w:r>
      <w:r w:rsidR="00792119">
        <w:rPr>
          <w:rFonts w:ascii="Arial" w:hAnsi="Arial" w:cs="Arial"/>
          <w:sz w:val="20"/>
          <w:szCs w:val="20"/>
          <w:lang w:val="es-ES_tradnl"/>
        </w:rPr>
        <w:t>s</w:t>
      </w:r>
      <w:r w:rsidR="002143B4">
        <w:rPr>
          <w:rFonts w:ascii="Arial" w:hAnsi="Arial" w:cs="Arial"/>
          <w:sz w:val="20"/>
          <w:szCs w:val="20"/>
          <w:lang w:val="es-ES_tradnl"/>
        </w:rPr>
        <w:t xml:space="preserve"> Financiados con Recursos Externos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880F42">
        <w:rPr>
          <w:rFonts w:ascii="Arial" w:hAnsi="Arial" w:cs="Arial"/>
          <w:sz w:val="20"/>
          <w:szCs w:val="20"/>
          <w:lang w:val="es-ES_tradnl"/>
        </w:rPr>
        <w:t>licitación rehabilitación 111 km</w:t>
      </w:r>
      <w:r w:rsidR="00151FB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51FBD" w:rsidRPr="005C726E">
        <w:rPr>
          <w:rFonts w:ascii="Arial" w:hAnsi="Arial" w:cs="Arial"/>
          <w:sz w:val="20"/>
          <w:szCs w:val="20"/>
          <w:lang w:val="es-ES_tradnl"/>
        </w:rPr>
        <w:t>de</w:t>
      </w:r>
      <w:r w:rsidR="00880F42" w:rsidRPr="005C726E">
        <w:rPr>
          <w:rFonts w:ascii="Arial" w:hAnsi="Arial" w:cs="Arial"/>
          <w:sz w:val="20"/>
          <w:szCs w:val="20"/>
          <w:lang w:val="es-ES_tradnl"/>
        </w:rPr>
        <w:t xml:space="preserve"> caminos</w:t>
      </w:r>
      <w:r w:rsidR="00880F42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a partir del </w:t>
      </w:r>
      <w:r w:rsidR="00C91D0F">
        <w:rPr>
          <w:rFonts w:ascii="Arial" w:hAnsi="Arial" w:cs="Arial"/>
          <w:sz w:val="20"/>
          <w:szCs w:val="20"/>
          <w:lang w:val="es-ES_tradnl"/>
        </w:rPr>
        <w:t>18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716EAC">
        <w:rPr>
          <w:rFonts w:ascii="Arial" w:hAnsi="Arial" w:cs="Arial"/>
          <w:sz w:val="20"/>
          <w:szCs w:val="20"/>
          <w:lang w:val="es-ES_tradnl"/>
        </w:rPr>
        <w:t>octubre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del </w:t>
      </w:r>
      <w:r w:rsidRPr="00CC22A1">
        <w:rPr>
          <w:rFonts w:ascii="Arial" w:hAnsi="Arial" w:cs="Arial"/>
          <w:sz w:val="20"/>
          <w:szCs w:val="20"/>
          <w:lang w:val="es-ES_tradnl"/>
        </w:rPr>
        <w:t>201</w:t>
      </w:r>
      <w:r>
        <w:rPr>
          <w:rFonts w:ascii="Arial" w:hAnsi="Arial" w:cs="Arial"/>
          <w:sz w:val="20"/>
          <w:szCs w:val="20"/>
          <w:lang w:val="es-ES_tradnl"/>
        </w:rPr>
        <w:t>9</w:t>
      </w:r>
      <w:r w:rsidR="00880F42">
        <w:rPr>
          <w:rFonts w:ascii="Arial" w:hAnsi="Arial" w:cs="Arial"/>
          <w:sz w:val="20"/>
          <w:szCs w:val="20"/>
          <w:lang w:val="es-ES_tradnl"/>
        </w:rPr>
        <w:t xml:space="preserve">, debiendo llenar el 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formulario de inscripción, obligatorio para formalizar su participación en la Licitación, a más tardar hasta el </w:t>
      </w:r>
      <w:r w:rsidRPr="005C726E">
        <w:rPr>
          <w:rFonts w:ascii="Arial" w:hAnsi="Arial" w:cs="Arial"/>
          <w:sz w:val="20"/>
          <w:szCs w:val="20"/>
          <w:lang w:val="es-ES_tradnl"/>
        </w:rPr>
        <w:t xml:space="preserve">día </w:t>
      </w:r>
      <w:r w:rsidR="00C91D0F" w:rsidRPr="005C726E">
        <w:rPr>
          <w:rFonts w:ascii="Arial" w:hAnsi="Arial" w:cs="Arial"/>
          <w:sz w:val="20"/>
          <w:szCs w:val="20"/>
          <w:lang w:val="es-ES_tradnl"/>
        </w:rPr>
        <w:t>28</w:t>
      </w:r>
      <w:r w:rsidR="00935336" w:rsidRPr="005C726E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675D44" w:rsidRPr="005C726E">
        <w:rPr>
          <w:rFonts w:ascii="Arial" w:hAnsi="Arial" w:cs="Arial"/>
          <w:sz w:val="20"/>
          <w:szCs w:val="20"/>
          <w:lang w:val="es-ES_tradnl"/>
        </w:rPr>
        <w:t>octu</w:t>
      </w:r>
      <w:r w:rsidR="00716EAC" w:rsidRPr="005C726E">
        <w:rPr>
          <w:rFonts w:ascii="Arial" w:hAnsi="Arial" w:cs="Arial"/>
          <w:sz w:val="20"/>
          <w:szCs w:val="20"/>
          <w:lang w:val="es-ES_tradnl"/>
        </w:rPr>
        <w:t>bre</w:t>
      </w:r>
      <w:r w:rsidR="00935336" w:rsidRPr="005C726E">
        <w:rPr>
          <w:rFonts w:ascii="Arial" w:hAnsi="Arial" w:cs="Arial"/>
          <w:sz w:val="20"/>
          <w:szCs w:val="20"/>
          <w:lang w:val="es-ES_tradnl"/>
        </w:rPr>
        <w:t xml:space="preserve"> del</w:t>
      </w:r>
      <w:bookmarkStart w:id="0" w:name="_GoBack"/>
      <w:bookmarkEnd w:id="0"/>
      <w:r w:rsidR="0093533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35336" w:rsidRPr="00CC22A1">
        <w:rPr>
          <w:rFonts w:ascii="Arial" w:hAnsi="Arial" w:cs="Arial"/>
          <w:sz w:val="20"/>
          <w:szCs w:val="20"/>
          <w:lang w:val="es-ES_tradnl"/>
        </w:rPr>
        <w:t>201</w:t>
      </w:r>
      <w:r w:rsidR="00935336">
        <w:rPr>
          <w:rFonts w:ascii="Arial" w:hAnsi="Arial" w:cs="Arial"/>
          <w:sz w:val="20"/>
          <w:szCs w:val="20"/>
          <w:lang w:val="es-ES_tradnl"/>
        </w:rPr>
        <w:t>9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792119">
        <w:rPr>
          <w:rFonts w:ascii="Arial" w:hAnsi="Arial" w:cs="Arial"/>
          <w:sz w:val="20"/>
          <w:szCs w:val="20"/>
          <w:lang w:val="es-ES_tradnl"/>
        </w:rPr>
        <w:t>y</w:t>
      </w:r>
      <w:r w:rsidR="00C47D14">
        <w:rPr>
          <w:rFonts w:ascii="Arial" w:hAnsi="Arial" w:cs="Arial"/>
          <w:sz w:val="20"/>
          <w:szCs w:val="20"/>
          <w:lang w:val="es-ES_tradnl"/>
        </w:rPr>
        <w:t xml:space="preserve"> remitir firmado </w:t>
      </w:r>
      <w:r w:rsidR="00792119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C47D14">
        <w:rPr>
          <w:rFonts w:ascii="Arial" w:hAnsi="Arial" w:cs="Arial"/>
          <w:sz w:val="20"/>
          <w:szCs w:val="20"/>
          <w:lang w:val="es-ES_tradnl"/>
        </w:rPr>
        <w:t>escaneado</w:t>
      </w:r>
      <w:r w:rsidR="001F7C68">
        <w:rPr>
          <w:rFonts w:ascii="Arial" w:hAnsi="Arial" w:cs="Arial"/>
          <w:sz w:val="20"/>
          <w:szCs w:val="20"/>
          <w:lang w:val="es-ES_tradnl"/>
        </w:rPr>
        <w:t xml:space="preserve"> a </w:t>
      </w:r>
      <w:r w:rsidR="00880F42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1F7C68" w:rsidRPr="00CC22A1">
        <w:rPr>
          <w:rFonts w:ascii="Arial" w:hAnsi="Arial" w:cs="Arial"/>
          <w:sz w:val="20"/>
          <w:szCs w:val="20"/>
          <w:lang w:val="es-ES_tradnl"/>
        </w:rPr>
        <w:t>dirección electrónica</w:t>
      </w:r>
      <w:r w:rsidR="001F7C68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7" w:history="1">
        <w:r w:rsidR="001F7C68" w:rsidRPr="001F7C68">
          <w:rPr>
            <w:rStyle w:val="Hipervnculo"/>
            <w:rFonts w:ascii="Arial" w:hAnsi="Arial" w:cs="Arial"/>
            <w:sz w:val="20"/>
            <w:szCs w:val="20"/>
            <w:u w:val="none"/>
            <w:lang w:val="es-ES_tradnl"/>
          </w:rPr>
          <w:t>lpi012019caminosmopcbid4553@gmail.com</w:t>
        </w:r>
      </w:hyperlink>
      <w:r w:rsidRPr="00C47D14">
        <w:rPr>
          <w:rFonts w:ascii="Arial" w:hAnsi="Arial" w:cs="Arial"/>
          <w:sz w:val="20"/>
          <w:szCs w:val="20"/>
          <w:lang w:val="es-ES_tradnl"/>
        </w:rPr>
        <w:t>.</w:t>
      </w:r>
      <w:r w:rsidR="00880F42">
        <w:rPr>
          <w:rFonts w:ascii="Arial" w:hAnsi="Arial" w:cs="Arial"/>
          <w:sz w:val="20"/>
          <w:szCs w:val="20"/>
          <w:lang w:val="es-ES_tradnl"/>
        </w:rPr>
        <w:t xml:space="preserve"> Las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consultas</w:t>
      </w:r>
      <w:r w:rsidR="00880F42">
        <w:rPr>
          <w:rFonts w:ascii="Arial" w:hAnsi="Arial" w:cs="Arial"/>
          <w:sz w:val="20"/>
          <w:szCs w:val="20"/>
          <w:lang w:val="es-ES_tradnl"/>
        </w:rPr>
        <w:t xml:space="preserve"> serán recibidas en l</w:t>
      </w:r>
      <w:r w:rsidRPr="00CC22A1">
        <w:rPr>
          <w:rFonts w:ascii="Arial" w:hAnsi="Arial" w:cs="Arial"/>
          <w:sz w:val="20"/>
          <w:szCs w:val="20"/>
          <w:lang w:val="es-ES_tradnl"/>
        </w:rPr>
        <w:t>a</w:t>
      </w:r>
      <w:r w:rsidR="001F7C68">
        <w:rPr>
          <w:rFonts w:ascii="Arial" w:hAnsi="Arial" w:cs="Arial"/>
          <w:sz w:val="20"/>
          <w:szCs w:val="20"/>
          <w:lang w:val="es-ES_tradnl"/>
        </w:rPr>
        <w:t xml:space="preserve"> misma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dirección electrónica a más tardar hasta el día </w:t>
      </w:r>
      <w:r w:rsidR="00716EAC">
        <w:rPr>
          <w:rFonts w:ascii="Arial" w:hAnsi="Arial" w:cs="Arial"/>
          <w:sz w:val="20"/>
          <w:szCs w:val="20"/>
          <w:lang w:val="es-ES_tradnl"/>
        </w:rPr>
        <w:t>0</w:t>
      </w:r>
      <w:r w:rsidR="00C91D0F">
        <w:rPr>
          <w:rFonts w:ascii="Arial" w:hAnsi="Arial" w:cs="Arial"/>
          <w:sz w:val="20"/>
          <w:szCs w:val="20"/>
          <w:lang w:val="es-ES_tradnl"/>
        </w:rPr>
        <w:t>1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716EAC">
        <w:rPr>
          <w:rFonts w:ascii="Arial" w:hAnsi="Arial" w:cs="Arial"/>
          <w:sz w:val="20"/>
          <w:szCs w:val="20"/>
          <w:lang w:val="es-ES_tradnl"/>
        </w:rPr>
        <w:t>noviembre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del </w:t>
      </w:r>
      <w:r w:rsidR="00935336" w:rsidRPr="00CC22A1">
        <w:rPr>
          <w:rFonts w:ascii="Arial" w:hAnsi="Arial" w:cs="Arial"/>
          <w:sz w:val="20"/>
          <w:szCs w:val="20"/>
          <w:lang w:val="es-ES_tradnl"/>
        </w:rPr>
        <w:t>201</w:t>
      </w:r>
      <w:r w:rsidR="00935336">
        <w:rPr>
          <w:rFonts w:ascii="Arial" w:hAnsi="Arial" w:cs="Arial"/>
          <w:sz w:val="20"/>
          <w:szCs w:val="20"/>
          <w:lang w:val="es-ES_tradnl"/>
        </w:rPr>
        <w:t>9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6317B764" w14:textId="77777777" w:rsidR="00AE53EE" w:rsidRPr="00151190" w:rsidRDefault="00AE53EE" w:rsidP="00AE53EE">
      <w:pPr>
        <w:autoSpaceDE w:val="0"/>
        <w:jc w:val="both"/>
        <w:rPr>
          <w:rFonts w:ascii="Arial" w:hAnsi="Arial" w:cs="Arial"/>
          <w:sz w:val="10"/>
          <w:szCs w:val="10"/>
          <w:lang w:val="es-ES_tradnl"/>
        </w:rPr>
      </w:pPr>
    </w:p>
    <w:p w14:paraId="61027000" w14:textId="685A7E6F" w:rsidR="00AE53EE" w:rsidRPr="00CC22A1" w:rsidRDefault="00AE53EE" w:rsidP="00151190">
      <w:pPr>
        <w:tabs>
          <w:tab w:val="left" w:pos="709"/>
          <w:tab w:val="left" w:pos="1800"/>
          <w:tab w:val="left" w:pos="1890"/>
        </w:tabs>
        <w:autoSpaceDE w:val="0"/>
        <w:jc w:val="both"/>
        <w:rPr>
          <w:rFonts w:ascii="Arial" w:hAnsi="Arial" w:cs="Arial"/>
          <w:color w:val="231F20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 xml:space="preserve">La entrega de las Ofertas será en un solo sobre cerrado y lacrado por cada lote ofertado, conteniendo original más </w:t>
      </w:r>
      <w:r w:rsidR="00716EAC">
        <w:rPr>
          <w:rFonts w:ascii="Arial" w:hAnsi="Arial" w:cs="Arial"/>
          <w:sz w:val="20"/>
          <w:szCs w:val="20"/>
          <w:lang w:val="es-ES_tradnl"/>
        </w:rPr>
        <w:t>dos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(</w:t>
      </w:r>
      <w:r w:rsidR="00716EAC">
        <w:rPr>
          <w:rFonts w:ascii="Arial" w:hAnsi="Arial" w:cs="Arial"/>
          <w:sz w:val="20"/>
          <w:szCs w:val="20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 xml:space="preserve">) 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copias impresas y dos </w:t>
      </w:r>
      <w:r>
        <w:rPr>
          <w:rFonts w:ascii="Arial" w:hAnsi="Arial" w:cs="Arial"/>
          <w:sz w:val="20"/>
          <w:szCs w:val="20"/>
          <w:lang w:val="es-ES_tradnl"/>
        </w:rPr>
        <w:t xml:space="preserve">(2) </w:t>
      </w:r>
      <w:proofErr w:type="spellStart"/>
      <w:r w:rsidRPr="00CC22A1">
        <w:rPr>
          <w:rFonts w:ascii="Arial" w:hAnsi="Arial" w:cs="Arial"/>
          <w:sz w:val="20"/>
          <w:szCs w:val="20"/>
          <w:lang w:val="es-ES_tradnl"/>
        </w:rPr>
        <w:t>CDs</w:t>
      </w:r>
      <w:proofErr w:type="spellEnd"/>
      <w:r w:rsidRPr="00CC22A1">
        <w:rPr>
          <w:rFonts w:ascii="Arial" w:hAnsi="Arial" w:cs="Arial"/>
          <w:sz w:val="20"/>
          <w:szCs w:val="20"/>
          <w:lang w:val="es-ES_tradnl"/>
        </w:rPr>
        <w:t xml:space="preserve"> y deberá presentarse a más tardar hasta las 1</w:t>
      </w:r>
      <w:r w:rsidR="00792119">
        <w:rPr>
          <w:rFonts w:ascii="Arial" w:hAnsi="Arial" w:cs="Arial"/>
          <w:sz w:val="20"/>
          <w:szCs w:val="20"/>
          <w:lang w:val="es-ES_tradnl"/>
        </w:rPr>
        <w:t>0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:00 </w:t>
      </w:r>
      <w:r>
        <w:rPr>
          <w:rFonts w:ascii="Arial" w:hAnsi="Arial" w:cs="Arial"/>
          <w:sz w:val="20"/>
          <w:szCs w:val="20"/>
          <w:lang w:val="es-ES_tradnl"/>
        </w:rPr>
        <w:t xml:space="preserve">A. </w:t>
      </w:r>
      <w:r w:rsidRPr="00CC22A1">
        <w:rPr>
          <w:rFonts w:ascii="Arial" w:hAnsi="Arial" w:cs="Arial"/>
          <w:sz w:val="20"/>
          <w:szCs w:val="20"/>
          <w:lang w:val="es-ES_tradnl"/>
        </w:rPr>
        <w:t>M</w:t>
      </w:r>
      <w:r>
        <w:rPr>
          <w:rFonts w:ascii="Arial" w:hAnsi="Arial" w:cs="Arial"/>
          <w:sz w:val="20"/>
          <w:szCs w:val="20"/>
          <w:lang w:val="es-ES_tradnl"/>
        </w:rPr>
        <w:t>.</w:t>
      </w:r>
      <w:r w:rsidRPr="00CC22A1">
        <w:rPr>
          <w:rFonts w:ascii="Arial" w:hAnsi="Arial" w:cs="Arial"/>
          <w:sz w:val="20"/>
          <w:szCs w:val="20"/>
          <w:lang w:val="es-ES_tradnl"/>
        </w:rPr>
        <w:t xml:space="preserve"> del día </w:t>
      </w:r>
      <w:r w:rsidR="00C91D0F">
        <w:rPr>
          <w:rFonts w:ascii="Arial" w:hAnsi="Arial" w:cs="Arial"/>
          <w:sz w:val="20"/>
          <w:szCs w:val="20"/>
          <w:lang w:val="es-ES_tradnl"/>
        </w:rPr>
        <w:t>18</w:t>
      </w:r>
      <w:r w:rsidR="00716EAC">
        <w:rPr>
          <w:rFonts w:ascii="Arial" w:hAnsi="Arial" w:cs="Arial"/>
          <w:sz w:val="20"/>
          <w:szCs w:val="20"/>
          <w:lang w:val="es-ES_tradnl"/>
        </w:rPr>
        <w:t xml:space="preserve"> de noviembre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 del </w:t>
      </w:r>
      <w:r w:rsidR="00935336" w:rsidRPr="00CC22A1">
        <w:rPr>
          <w:rFonts w:ascii="Arial" w:hAnsi="Arial" w:cs="Arial"/>
          <w:sz w:val="20"/>
          <w:szCs w:val="20"/>
          <w:lang w:val="es-ES_tradnl"/>
        </w:rPr>
        <w:t>201</w:t>
      </w:r>
      <w:r w:rsidR="00935336">
        <w:rPr>
          <w:rFonts w:ascii="Arial" w:hAnsi="Arial" w:cs="Arial"/>
          <w:sz w:val="20"/>
          <w:szCs w:val="20"/>
          <w:lang w:val="es-ES_tradnl"/>
        </w:rPr>
        <w:t xml:space="preserve">9, </w:t>
      </w:r>
      <w:r w:rsidRPr="00CC22A1">
        <w:rPr>
          <w:rFonts w:ascii="Arial" w:hAnsi="Arial" w:cs="Arial"/>
          <w:sz w:val="20"/>
          <w:szCs w:val="20"/>
          <w:lang w:val="es-ES_tradnl"/>
        </w:rPr>
        <w:t>en la dirección más abajo citada. Media hora más tarde será la apertura de las ofertas en la misma dirección.</w:t>
      </w:r>
      <w:r w:rsidR="0015119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80F42" w:rsidRPr="00CC22A1">
        <w:rPr>
          <w:rFonts w:ascii="Arial" w:hAnsi="Arial" w:cs="Arial"/>
          <w:sz w:val="20"/>
          <w:szCs w:val="20"/>
          <w:lang w:val="es-ES_tradnl"/>
        </w:rPr>
        <w:t xml:space="preserve">Las Ofertas que se entreguen fuera del plazo </w:t>
      </w:r>
      <w:r w:rsidR="00880F42">
        <w:rPr>
          <w:rFonts w:ascii="Arial" w:hAnsi="Arial" w:cs="Arial"/>
          <w:sz w:val="20"/>
          <w:szCs w:val="20"/>
          <w:lang w:val="es-ES_tradnl"/>
        </w:rPr>
        <w:t xml:space="preserve">y hora </w:t>
      </w:r>
      <w:r w:rsidR="00880F42" w:rsidRPr="00CC22A1">
        <w:rPr>
          <w:rFonts w:ascii="Arial" w:hAnsi="Arial" w:cs="Arial"/>
          <w:sz w:val="20"/>
          <w:szCs w:val="20"/>
          <w:lang w:val="es-ES_tradnl"/>
        </w:rPr>
        <w:t>señalado</w:t>
      </w:r>
      <w:r w:rsidR="00880F42">
        <w:rPr>
          <w:rFonts w:ascii="Arial" w:hAnsi="Arial" w:cs="Arial"/>
          <w:sz w:val="20"/>
          <w:szCs w:val="20"/>
          <w:lang w:val="es-ES_tradnl"/>
        </w:rPr>
        <w:t>s,</w:t>
      </w:r>
      <w:r w:rsidR="00880F42" w:rsidRPr="00CC22A1">
        <w:rPr>
          <w:rFonts w:ascii="Arial" w:hAnsi="Arial" w:cs="Arial"/>
          <w:sz w:val="20"/>
          <w:szCs w:val="20"/>
          <w:lang w:val="es-ES_tradnl"/>
        </w:rPr>
        <w:t xml:space="preserve"> no serán consideradas. No se aceptarán Ofertas presentadas por medios electrónicos </w:t>
      </w:r>
      <w:r w:rsidRPr="00CC22A1">
        <w:rPr>
          <w:rFonts w:ascii="Arial" w:hAnsi="Arial" w:cs="Arial"/>
          <w:sz w:val="20"/>
          <w:szCs w:val="20"/>
          <w:lang w:val="es-ES_tradnl"/>
        </w:rPr>
        <w:t>El</w:t>
      </w:r>
      <w:r w:rsidRPr="00CC22A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CC22A1">
        <w:rPr>
          <w:rFonts w:ascii="Arial" w:hAnsi="Arial" w:cs="Arial"/>
          <w:color w:val="231F20"/>
          <w:sz w:val="20"/>
          <w:szCs w:val="20"/>
          <w:lang w:val="es-ES_tradnl"/>
        </w:rPr>
        <w:t>sobre deberá contener la siguiente información</w:t>
      </w:r>
      <w:r w:rsidR="00792119">
        <w:rPr>
          <w:rFonts w:ascii="Arial" w:hAnsi="Arial" w:cs="Arial"/>
          <w:color w:val="231F20"/>
          <w:sz w:val="20"/>
          <w:szCs w:val="20"/>
          <w:lang w:val="es-ES_tradnl"/>
        </w:rPr>
        <w:t xml:space="preserve"> en su exterior</w:t>
      </w:r>
      <w:r w:rsidRPr="00CC22A1">
        <w:rPr>
          <w:rFonts w:ascii="Arial" w:hAnsi="Arial" w:cs="Arial"/>
          <w:color w:val="231F20"/>
          <w:sz w:val="20"/>
          <w:szCs w:val="20"/>
          <w:lang w:val="es-ES_tradnl"/>
        </w:rPr>
        <w:t xml:space="preserve">: </w:t>
      </w:r>
    </w:p>
    <w:p w14:paraId="358FAB7C" w14:textId="77777777" w:rsidR="00AE53EE" w:rsidRPr="00151190" w:rsidRDefault="00AE53EE" w:rsidP="00AE53EE">
      <w:pPr>
        <w:autoSpaceDE w:val="0"/>
        <w:rPr>
          <w:rFonts w:ascii="Arial" w:hAnsi="Arial" w:cs="Arial"/>
          <w:bCs/>
          <w:color w:val="000000"/>
          <w:sz w:val="10"/>
          <w:szCs w:val="10"/>
          <w:lang w:val="es-ES_tradnl" w:eastAsia="es-DO"/>
        </w:rPr>
      </w:pPr>
    </w:p>
    <w:p w14:paraId="63B274B5" w14:textId="77777777" w:rsidR="00AE53EE" w:rsidRPr="00CC22A1" w:rsidRDefault="00AE53EE" w:rsidP="00AE53EE">
      <w:pPr>
        <w:autoSpaceDE w:val="0"/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</w:pPr>
      <w:r w:rsidRPr="00CC22A1"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  <w:t>Ministerio de Obras Públicas y Comunicaciones</w:t>
      </w:r>
    </w:p>
    <w:p w14:paraId="4DB06F01" w14:textId="77777777" w:rsidR="00792119" w:rsidRDefault="00792119" w:rsidP="00792119">
      <w:pPr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</w:pPr>
      <w:r>
        <w:rPr>
          <w:rFonts w:ascii="Arial" w:hAnsi="Arial" w:cs="Arial"/>
          <w:sz w:val="20"/>
          <w:szCs w:val="20"/>
          <w:lang w:val="es-ES_tradnl"/>
        </w:rPr>
        <w:t>Auditórium del Club Recreativo y Cultural del MOPC</w:t>
      </w:r>
    </w:p>
    <w:p w14:paraId="049F6484" w14:textId="77777777" w:rsidR="00792119" w:rsidRPr="00CC22A1" w:rsidRDefault="00792119" w:rsidP="00792119">
      <w:pPr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</w:pPr>
      <w:r w:rsidRPr="00CC22A1"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  <w:t>Av. Héctor Homero Hernández esq. Horacio Blanco Fombona. Ensanche La Fe, Santo Domingo, D. N.</w:t>
      </w:r>
    </w:p>
    <w:p w14:paraId="19F10097" w14:textId="71DFC5AF" w:rsidR="00792119" w:rsidRDefault="00792119" w:rsidP="00792119">
      <w:pPr>
        <w:autoSpaceDE w:val="0"/>
        <w:jc w:val="both"/>
        <w:rPr>
          <w:rFonts w:ascii="Arial" w:hAnsi="Arial" w:cs="Arial"/>
          <w:spacing w:val="-1"/>
          <w:sz w:val="20"/>
          <w:szCs w:val="20"/>
          <w:lang w:val="es-ES_tradnl"/>
        </w:rPr>
      </w:pPr>
      <w:r w:rsidRPr="00CC22A1"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  <w:t xml:space="preserve">Atención: </w:t>
      </w:r>
      <w:r w:rsidRPr="00CC22A1">
        <w:rPr>
          <w:rFonts w:ascii="Arial" w:hAnsi="Arial" w:cs="Arial"/>
          <w:sz w:val="20"/>
          <w:szCs w:val="20"/>
          <w:lang w:val="es-ES_tradnl"/>
        </w:rPr>
        <w:t>Ing. Ernesto Musa Saba, Asesor del Ministro y Coordinador General de OCGPFRE</w:t>
      </w:r>
    </w:p>
    <w:p w14:paraId="637BA897" w14:textId="3FD999E0" w:rsidR="00040428" w:rsidRDefault="00040428" w:rsidP="00040428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Licitación Pública 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Intern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 xml:space="preserve">acional 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para la Rehabilitación de </w:t>
      </w:r>
      <w:r w:rsidR="007374EC">
        <w:rPr>
          <w:rFonts w:ascii="Arial" w:hAnsi="Arial" w:cs="Arial"/>
          <w:spacing w:val="-1"/>
          <w:sz w:val="20"/>
          <w:szCs w:val="20"/>
          <w:lang w:val="es-ES_tradnl"/>
        </w:rPr>
        <w:t>111.00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 Km</w:t>
      </w:r>
      <w:r w:rsidR="007374EC">
        <w:rPr>
          <w:rFonts w:ascii="Arial" w:hAnsi="Arial" w:cs="Arial"/>
          <w:spacing w:val="-1"/>
          <w:sz w:val="20"/>
          <w:szCs w:val="20"/>
          <w:lang w:val="es-ES_tradnl"/>
        </w:rPr>
        <w:t>s.</w:t>
      </w:r>
      <w:r>
        <w:rPr>
          <w:rFonts w:ascii="Arial" w:hAnsi="Arial" w:cs="Arial"/>
          <w:spacing w:val="-1"/>
          <w:sz w:val="20"/>
          <w:szCs w:val="20"/>
          <w:lang w:val="es-ES_tradnl"/>
        </w:rPr>
        <w:t xml:space="preserve"> de Caminos Vecinales</w:t>
      </w:r>
    </w:p>
    <w:p w14:paraId="34F11840" w14:textId="7394164B" w:rsidR="00040428" w:rsidRDefault="00040428" w:rsidP="00AE53EE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color w:val="231F20"/>
          <w:sz w:val="20"/>
          <w:szCs w:val="20"/>
          <w:lang w:val="es-ES_tradnl"/>
        </w:rPr>
        <w:t xml:space="preserve">Programa de Desarrollo </w:t>
      </w:r>
      <w:r>
        <w:rPr>
          <w:rFonts w:ascii="Arial" w:hAnsi="Arial" w:cs="Arial"/>
          <w:color w:val="231F20"/>
          <w:sz w:val="20"/>
          <w:szCs w:val="20"/>
          <w:lang w:val="es-ES_tradnl"/>
        </w:rPr>
        <w:t>Agroforestal</w:t>
      </w:r>
      <w:r w:rsidR="007D0BA4">
        <w:rPr>
          <w:rFonts w:ascii="Arial" w:hAnsi="Arial" w:cs="Arial"/>
          <w:color w:val="231F20"/>
          <w:sz w:val="20"/>
          <w:szCs w:val="20"/>
          <w:lang w:val="es-ES_tradnl"/>
        </w:rPr>
        <w:t xml:space="preserve"> Sostenible</w:t>
      </w:r>
      <w:r w:rsidRPr="00CC22A1"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  <w:t xml:space="preserve">, Préstamo BID No. </w:t>
      </w:r>
      <w:r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  <w:t>4553</w:t>
      </w:r>
      <w:r w:rsidRPr="00CC22A1">
        <w:rPr>
          <w:rFonts w:ascii="Arial" w:hAnsi="Arial" w:cs="Arial"/>
          <w:bCs/>
          <w:color w:val="000000"/>
          <w:sz w:val="20"/>
          <w:szCs w:val="20"/>
          <w:lang w:val="es-ES_tradnl" w:eastAsia="es-DO"/>
        </w:rPr>
        <w:t>/OC-DR</w:t>
      </w:r>
    </w:p>
    <w:p w14:paraId="7585C236" w14:textId="277892F2" w:rsidR="00040428" w:rsidRDefault="00040428" w:rsidP="00AE53EE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>Oferente*************, Lote ******</w:t>
      </w:r>
    </w:p>
    <w:p w14:paraId="097314E8" w14:textId="5551D808" w:rsidR="00AE53EE" w:rsidRPr="00CC22A1" w:rsidRDefault="00040428" w:rsidP="00AE53EE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Licitación No. lp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i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-01-201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9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-caminos-mopc-bid-</w:t>
      </w:r>
      <w:r>
        <w:rPr>
          <w:rFonts w:ascii="Arial" w:hAnsi="Arial" w:cs="Arial"/>
          <w:spacing w:val="-1"/>
          <w:sz w:val="20"/>
          <w:szCs w:val="20"/>
          <w:lang w:val="es-ES_tradnl"/>
        </w:rPr>
        <w:t>4553</w:t>
      </w:r>
      <w:r w:rsidRPr="00CC22A1">
        <w:rPr>
          <w:rFonts w:ascii="Arial" w:hAnsi="Arial" w:cs="Arial"/>
          <w:spacing w:val="-1"/>
          <w:sz w:val="20"/>
          <w:szCs w:val="20"/>
          <w:lang w:val="es-ES_tradnl"/>
        </w:rPr>
        <w:t>-oc-dr</w:t>
      </w:r>
    </w:p>
    <w:p w14:paraId="200AEC1E" w14:textId="3DD33275" w:rsidR="00AE53EE" w:rsidRDefault="00AE53EE" w:rsidP="007C5898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>No abrir antes del</w:t>
      </w:r>
      <w:r>
        <w:rPr>
          <w:rFonts w:ascii="Arial" w:hAnsi="Arial" w:cs="Arial"/>
          <w:sz w:val="20"/>
          <w:szCs w:val="20"/>
          <w:lang w:val="es-ES_tradnl"/>
        </w:rPr>
        <w:t xml:space="preserve"> día </w:t>
      </w:r>
      <w:r w:rsidR="00F92A1A">
        <w:rPr>
          <w:rFonts w:ascii="Arial" w:hAnsi="Arial" w:cs="Arial"/>
          <w:sz w:val="20"/>
          <w:szCs w:val="20"/>
          <w:lang w:val="es-ES_tradnl"/>
        </w:rPr>
        <w:t>18</w:t>
      </w:r>
      <w:r w:rsidR="007C5898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716EAC">
        <w:rPr>
          <w:rFonts w:ascii="Arial" w:hAnsi="Arial" w:cs="Arial"/>
          <w:sz w:val="20"/>
          <w:szCs w:val="20"/>
          <w:lang w:val="es-ES_tradnl"/>
        </w:rPr>
        <w:t>noviembre</w:t>
      </w:r>
      <w:r w:rsidR="007C5898">
        <w:rPr>
          <w:rFonts w:ascii="Arial" w:hAnsi="Arial" w:cs="Arial"/>
          <w:sz w:val="20"/>
          <w:szCs w:val="20"/>
          <w:lang w:val="es-ES_tradnl"/>
        </w:rPr>
        <w:t xml:space="preserve"> del </w:t>
      </w:r>
      <w:r w:rsidR="007C5898" w:rsidRPr="00CC22A1">
        <w:rPr>
          <w:rFonts w:ascii="Arial" w:hAnsi="Arial" w:cs="Arial"/>
          <w:sz w:val="20"/>
          <w:szCs w:val="20"/>
          <w:lang w:val="es-ES_tradnl"/>
        </w:rPr>
        <w:t>201</w:t>
      </w:r>
      <w:r w:rsidR="007C5898">
        <w:rPr>
          <w:rFonts w:ascii="Arial" w:hAnsi="Arial" w:cs="Arial"/>
          <w:sz w:val="20"/>
          <w:szCs w:val="20"/>
          <w:lang w:val="es-ES_tradnl"/>
        </w:rPr>
        <w:t>9</w:t>
      </w:r>
    </w:p>
    <w:p w14:paraId="29E01381" w14:textId="7E4DA9E8" w:rsidR="007C5898" w:rsidRDefault="007C5898" w:rsidP="007C5898">
      <w:pPr>
        <w:autoSpaceDE w:val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DAB03F4" w14:textId="1A92C7D9" w:rsidR="007C5898" w:rsidRDefault="007C5898" w:rsidP="007C5898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  <w:lang w:val="es-ES_tradnl" w:eastAsia="es-DO"/>
        </w:rPr>
      </w:pPr>
    </w:p>
    <w:p w14:paraId="0C09A1CF" w14:textId="68912ABC" w:rsidR="008D1438" w:rsidRDefault="008D1438" w:rsidP="007C5898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  <w:lang w:val="es-ES_tradnl" w:eastAsia="es-DO"/>
        </w:rPr>
      </w:pPr>
    </w:p>
    <w:p w14:paraId="24215267" w14:textId="77777777" w:rsidR="008D1438" w:rsidRPr="00CC22A1" w:rsidRDefault="008D1438" w:rsidP="007C5898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  <w:lang w:val="es-ES_tradnl" w:eastAsia="es-DO"/>
        </w:rPr>
      </w:pPr>
    </w:p>
    <w:p w14:paraId="3A4F0AE7" w14:textId="1ED18E29" w:rsidR="00B61380" w:rsidRPr="006761C1" w:rsidRDefault="006761C1" w:rsidP="00584F34">
      <w:pPr>
        <w:suppressAutoHyphens w:val="0"/>
        <w:autoSpaceDN/>
        <w:jc w:val="center"/>
        <w:textAlignment w:val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Ing. Ramón Antonio Pepín del Ro</w:t>
      </w:r>
      <w:r w:rsidRPr="006761C1">
        <w:rPr>
          <w:rFonts w:ascii="Arial" w:hAnsi="Arial" w:cs="Arial"/>
          <w:b/>
          <w:sz w:val="20"/>
          <w:szCs w:val="20"/>
          <w:lang w:val="es-ES_tradnl"/>
        </w:rPr>
        <w:t>sario</w:t>
      </w:r>
    </w:p>
    <w:p w14:paraId="39FE901A" w14:textId="351679E5" w:rsidR="003B7A80" w:rsidRPr="00584F34" w:rsidRDefault="00AE53EE" w:rsidP="00584F34">
      <w:pPr>
        <w:suppressAutoHyphens w:val="0"/>
        <w:autoSpaceDN/>
        <w:jc w:val="center"/>
        <w:textAlignment w:val="auto"/>
        <w:rPr>
          <w:rFonts w:ascii="Arial" w:hAnsi="Arial" w:cs="Arial"/>
          <w:sz w:val="20"/>
          <w:szCs w:val="20"/>
          <w:lang w:val="es-ES_tradnl"/>
        </w:rPr>
      </w:pPr>
      <w:r w:rsidRPr="00CC22A1">
        <w:rPr>
          <w:rFonts w:ascii="Arial" w:hAnsi="Arial" w:cs="Arial"/>
          <w:sz w:val="20"/>
          <w:szCs w:val="20"/>
          <w:lang w:val="es-ES_tradnl"/>
        </w:rPr>
        <w:t>Ministro de Obras Públicas y Comunicaciones</w:t>
      </w:r>
    </w:p>
    <w:sectPr w:rsidR="003B7A80" w:rsidRPr="00584F34" w:rsidSect="008D1438">
      <w:headerReference w:type="default" r:id="rId8"/>
      <w:pgSz w:w="12242" w:h="15842" w:code="1"/>
      <w:pgMar w:top="1560" w:right="760" w:bottom="567" w:left="85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57BD" w14:textId="77777777" w:rsidR="00193D0D" w:rsidRDefault="00193D0D" w:rsidP="00AE53EE">
      <w:r>
        <w:separator/>
      </w:r>
    </w:p>
  </w:endnote>
  <w:endnote w:type="continuationSeparator" w:id="0">
    <w:p w14:paraId="2B43FA3F" w14:textId="77777777" w:rsidR="00193D0D" w:rsidRDefault="00193D0D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3C07" w14:textId="77777777" w:rsidR="00193D0D" w:rsidRDefault="00193D0D" w:rsidP="00AE53EE">
      <w:r>
        <w:separator/>
      </w:r>
    </w:p>
  </w:footnote>
  <w:footnote w:type="continuationSeparator" w:id="0">
    <w:p w14:paraId="63C020ED" w14:textId="77777777" w:rsidR="00193D0D" w:rsidRDefault="00193D0D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1FE2" w14:textId="77777777" w:rsidR="00AE53EE" w:rsidRDefault="00AE53EE" w:rsidP="00E56AC6">
    <w:pPr>
      <w:pStyle w:val="Encabezado"/>
      <w:jc w:val="center"/>
    </w:pPr>
    <w:r w:rsidRPr="00AE53EE">
      <w:rPr>
        <w:noProof/>
        <w:lang w:val="es-DO" w:eastAsia="es-DO"/>
      </w:rPr>
      <w:drawing>
        <wp:inline distT="0" distB="0" distL="0" distR="0" wp14:anchorId="78A6B1B7" wp14:editId="297EB6CE">
          <wp:extent cx="2025251" cy="60007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266" cy="65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0"/>
    <w:rsid w:val="00040428"/>
    <w:rsid w:val="00063FD8"/>
    <w:rsid w:val="00097C4B"/>
    <w:rsid w:val="00121227"/>
    <w:rsid w:val="00151190"/>
    <w:rsid w:val="00151FBD"/>
    <w:rsid w:val="001544AB"/>
    <w:rsid w:val="00193D0D"/>
    <w:rsid w:val="001C54E8"/>
    <w:rsid w:val="001F7C68"/>
    <w:rsid w:val="00213A0B"/>
    <w:rsid w:val="002143B4"/>
    <w:rsid w:val="002542E0"/>
    <w:rsid w:val="003113ED"/>
    <w:rsid w:val="003B7A80"/>
    <w:rsid w:val="00434161"/>
    <w:rsid w:val="00477124"/>
    <w:rsid w:val="004A6561"/>
    <w:rsid w:val="005707F0"/>
    <w:rsid w:val="00584F34"/>
    <w:rsid w:val="005B4336"/>
    <w:rsid w:val="005B73E3"/>
    <w:rsid w:val="005C726E"/>
    <w:rsid w:val="006168CA"/>
    <w:rsid w:val="0065184C"/>
    <w:rsid w:val="00675D44"/>
    <w:rsid w:val="006761C1"/>
    <w:rsid w:val="00704141"/>
    <w:rsid w:val="00716EAC"/>
    <w:rsid w:val="007374EC"/>
    <w:rsid w:val="00792119"/>
    <w:rsid w:val="007B5825"/>
    <w:rsid w:val="007C5898"/>
    <w:rsid w:val="007D0BA4"/>
    <w:rsid w:val="00880F42"/>
    <w:rsid w:val="008D1438"/>
    <w:rsid w:val="008D430B"/>
    <w:rsid w:val="008D5D94"/>
    <w:rsid w:val="00922181"/>
    <w:rsid w:val="00935336"/>
    <w:rsid w:val="00A320B6"/>
    <w:rsid w:val="00AE53EE"/>
    <w:rsid w:val="00B61380"/>
    <w:rsid w:val="00C47D14"/>
    <w:rsid w:val="00C84442"/>
    <w:rsid w:val="00C91D0F"/>
    <w:rsid w:val="00CD01EE"/>
    <w:rsid w:val="00E56AC6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0A92022"/>
  <w15:chartTrackingRefBased/>
  <w15:docId w15:val="{5414367B-C78B-48ED-95E7-C9CE1DA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53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5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3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uiPriority w:val="99"/>
    <w:rsid w:val="00AE53EE"/>
    <w:rPr>
      <w:color w:val="0000FF"/>
      <w:u w:val="single"/>
    </w:rPr>
  </w:style>
  <w:style w:type="character" w:styleId="Refdecomentario">
    <w:name w:val="annotation reference"/>
    <w:rsid w:val="00AE5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53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AE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3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3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pi012019caminosmopcbid455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c.gob.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Rosario</dc:creator>
  <cp:keywords/>
  <dc:description/>
  <cp:lastModifiedBy>Pedro Jose Rosario</cp:lastModifiedBy>
  <cp:revision>29</cp:revision>
  <cp:lastPrinted>2019-10-10T18:23:00Z</cp:lastPrinted>
  <dcterms:created xsi:type="dcterms:W3CDTF">2019-05-17T17:59:00Z</dcterms:created>
  <dcterms:modified xsi:type="dcterms:W3CDTF">2019-10-15T18:07:00Z</dcterms:modified>
</cp:coreProperties>
</file>