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057DA7" w:rsidP="00057DA7">
      <w:pPr>
        <w:tabs>
          <w:tab w:val="left" w:pos="6267"/>
        </w:tabs>
        <w:spacing w:after="0" w:line="240" w:lineRule="auto"/>
        <w:jc w:val="center"/>
        <w:rPr>
          <w:rFonts w:ascii="Verdana" w:hAnsi="Verdana"/>
          <w:b/>
          <w:caps/>
          <w:sz w:val="22"/>
          <w:szCs w:val="22"/>
        </w:rPr>
      </w:pPr>
      <w:r w:rsidRPr="00057DA7">
        <w:rPr>
          <w:rFonts w:ascii="Verdana" w:hAnsi="Verdana"/>
          <w:b/>
          <w:caps/>
          <w:sz w:val="28"/>
          <w:szCs w:val="28"/>
        </w:rPr>
        <w:t xml:space="preserve">Adquisición </w:t>
      </w:r>
      <w:r>
        <w:rPr>
          <w:rFonts w:ascii="Verdana" w:hAnsi="Verdana"/>
          <w:b/>
          <w:caps/>
          <w:sz w:val="28"/>
          <w:szCs w:val="28"/>
        </w:rPr>
        <w:t xml:space="preserve">DE </w:t>
      </w:r>
      <w:r w:rsidR="00D8127D">
        <w:rPr>
          <w:rFonts w:ascii="Verdana" w:hAnsi="Verdana"/>
          <w:b/>
          <w:caps/>
          <w:sz w:val="28"/>
          <w:szCs w:val="28"/>
        </w:rPr>
        <w:t>EQUIPOS E INSUMOS DE INFORMATICA PARA LOS EQUIPOS</w:t>
      </w:r>
      <w:r w:rsidRPr="00057DA7">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EF014A" w:rsidRDefault="00EF014A"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D8127D">
                              <w:rPr>
                                <w:b/>
                                <w:color w:val="8E0000"/>
                                <w:sz w:val="32"/>
                                <w:szCs w:val="32"/>
                              </w:rPr>
                              <w:t xml:space="preserve"> 0</w:t>
                            </w:r>
                            <w:r w:rsidR="003E7E93">
                              <w:rPr>
                                <w:b/>
                                <w:color w:val="8E0000"/>
                                <w:sz w:val="32"/>
                                <w:szCs w:val="32"/>
                              </w:rPr>
                              <w:t>3</w:t>
                            </w:r>
                            <w:r w:rsidR="00D8127D">
                              <w:rPr>
                                <w:b/>
                                <w:color w:val="8E0000"/>
                                <w:sz w:val="32"/>
                                <w:szCs w:val="32"/>
                              </w:rPr>
                              <w:t>/2016</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D8127D">
                        <w:rPr>
                          <w:b/>
                          <w:color w:val="8E0000"/>
                          <w:sz w:val="32"/>
                          <w:szCs w:val="32"/>
                        </w:rPr>
                        <w:t xml:space="preserve"> 0</w:t>
                      </w:r>
                      <w:r w:rsidR="003E7E93">
                        <w:rPr>
                          <w:b/>
                          <w:color w:val="8E0000"/>
                          <w:sz w:val="32"/>
                          <w:szCs w:val="32"/>
                        </w:rPr>
                        <w:t>3</w:t>
                      </w:r>
                      <w:r w:rsidR="00D8127D">
                        <w:rPr>
                          <w:b/>
                          <w:color w:val="8E0000"/>
                          <w:sz w:val="32"/>
                          <w:szCs w:val="32"/>
                        </w:rPr>
                        <w:t>/2016</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E13946" w:rsidRDefault="00E13946" w:rsidP="00443783">
      <w:pPr>
        <w:spacing w:after="0" w:line="240" w:lineRule="auto"/>
        <w:jc w:val="both"/>
        <w:rPr>
          <w:rFonts w:ascii="Verdana" w:eastAsia="Calibri" w:hAnsi="Verdana"/>
          <w:b/>
          <w:sz w:val="22"/>
          <w:szCs w:val="22"/>
        </w:rPr>
      </w:pPr>
    </w:p>
    <w:p w:rsidR="0001176F" w:rsidRDefault="0001176F" w:rsidP="00156C76">
      <w:pPr>
        <w:spacing w:after="0" w:line="240" w:lineRule="auto"/>
        <w:rPr>
          <w:rFonts w:ascii="Verdana" w:eastAsia="Calibri" w:hAnsi="Verdana"/>
          <w:b/>
          <w:sz w:val="22"/>
          <w:szCs w:val="22"/>
        </w:rPr>
      </w:pPr>
    </w:p>
    <w:p w:rsidR="00EF014A" w:rsidRDefault="00EF014A"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057DA7" w:rsidRDefault="00E13946" w:rsidP="004B309A">
      <w:pPr>
        <w:spacing w:after="0" w:line="240" w:lineRule="auto"/>
        <w:ind w:left="153"/>
        <w:contextualSpacing/>
        <w:jc w:val="both"/>
        <w:rPr>
          <w:rFonts w:ascii="Verdana" w:eastAsia="Times New Roman" w:hAnsi="Verdana"/>
          <w:sz w:val="22"/>
          <w:szCs w:val="22"/>
          <w:lang w:val="es-DO" w:eastAsia="es-ES"/>
        </w:rPr>
      </w:pPr>
      <w:r w:rsidRPr="00E13946">
        <w:rPr>
          <w:rFonts w:ascii="Verdana" w:eastAsia="Times New Roman" w:hAnsi="Verdana"/>
          <w:sz w:val="22"/>
          <w:szCs w:val="22"/>
          <w:lang w:val="es-DO" w:eastAsia="es-ES"/>
        </w:rPr>
        <w:t>A</w:t>
      </w:r>
      <w:r>
        <w:rPr>
          <w:rFonts w:ascii="Verdana" w:eastAsia="Times New Roman" w:hAnsi="Verdana"/>
          <w:sz w:val="22"/>
          <w:szCs w:val="22"/>
          <w:lang w:val="es-DO" w:eastAsia="es-ES"/>
        </w:rPr>
        <w:t>dquisición de E</w:t>
      </w:r>
      <w:r w:rsidRPr="00E13946">
        <w:rPr>
          <w:rFonts w:ascii="Verdana" w:eastAsia="Times New Roman" w:hAnsi="Verdana"/>
          <w:sz w:val="22"/>
          <w:szCs w:val="22"/>
          <w:lang w:val="es-DO" w:eastAsia="es-ES"/>
        </w:rPr>
        <w:t xml:space="preserve">quipos e </w:t>
      </w:r>
      <w:r>
        <w:rPr>
          <w:rFonts w:ascii="Verdana" w:eastAsia="Times New Roman" w:hAnsi="Verdana"/>
          <w:sz w:val="22"/>
          <w:szCs w:val="22"/>
          <w:lang w:val="es-DO" w:eastAsia="es-ES"/>
        </w:rPr>
        <w:t>I</w:t>
      </w:r>
      <w:r w:rsidRPr="00E13946">
        <w:rPr>
          <w:rFonts w:ascii="Verdana" w:eastAsia="Times New Roman" w:hAnsi="Verdana"/>
          <w:sz w:val="22"/>
          <w:szCs w:val="22"/>
          <w:lang w:val="es-DO" w:eastAsia="es-ES"/>
        </w:rPr>
        <w:t>nsumos de informática para los equipos del MOPC</w:t>
      </w:r>
    </w:p>
    <w:p w:rsidR="00E13946" w:rsidRDefault="00E13946" w:rsidP="004B309A">
      <w:pPr>
        <w:spacing w:after="0" w:line="240" w:lineRule="auto"/>
        <w:ind w:left="153"/>
        <w:contextualSpacing/>
        <w:jc w:val="both"/>
        <w:rPr>
          <w:rFonts w:ascii="Verdana" w:eastAsia="Calibri" w:hAnsi="Verdana"/>
          <w:sz w:val="28"/>
          <w:szCs w:val="28"/>
          <w:lang w:val="es-DO"/>
        </w:rPr>
      </w:pPr>
    </w:p>
    <w:p w:rsidR="00EF014A" w:rsidRPr="00443783" w:rsidRDefault="00EF014A"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EB5154">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E13946" w:rsidRDefault="00E13946" w:rsidP="0001176F">
      <w:pPr>
        <w:spacing w:after="0" w:line="240" w:lineRule="auto"/>
        <w:contextualSpacing/>
        <w:jc w:val="both"/>
        <w:rPr>
          <w:rFonts w:ascii="Verdana" w:eastAsia="Calibri" w:hAnsi="Verdana"/>
          <w:b/>
          <w:sz w:val="22"/>
          <w:szCs w:val="22"/>
        </w:rPr>
      </w:pPr>
    </w:p>
    <w:p w:rsidR="00EF014A" w:rsidRDefault="00EF014A" w:rsidP="0001176F">
      <w:pPr>
        <w:spacing w:after="0" w:line="240" w:lineRule="auto"/>
        <w:contextualSpacing/>
        <w:jc w:val="both"/>
        <w:rPr>
          <w:rFonts w:ascii="Verdana" w:eastAsia="Calibri" w:hAnsi="Verdana"/>
          <w:b/>
          <w:sz w:val="22"/>
          <w:szCs w:val="22"/>
        </w:rPr>
      </w:pPr>
    </w:p>
    <w:p w:rsidR="00E13946" w:rsidRDefault="00E13946" w:rsidP="0001176F">
      <w:pPr>
        <w:spacing w:after="0" w:line="240" w:lineRule="auto"/>
        <w:contextualSpacing/>
        <w:jc w:val="both"/>
        <w:rPr>
          <w:rFonts w:ascii="Verdana" w:eastAsia="Calibri" w:hAnsi="Verdana"/>
          <w:b/>
          <w:sz w:val="22"/>
          <w:szCs w:val="22"/>
        </w:rPr>
      </w:pPr>
    </w:p>
    <w:p w:rsidR="00EA678A" w:rsidRPr="00C67CF2" w:rsidRDefault="00EA678A" w:rsidP="0001176F">
      <w:pPr>
        <w:spacing w:after="0" w:line="240" w:lineRule="auto"/>
        <w:contextualSpacing/>
        <w:jc w:val="both"/>
        <w:rPr>
          <w:rFonts w:ascii="Verdana" w:eastAsia="Calibri" w:hAnsi="Verdana"/>
          <w:b/>
          <w:sz w:val="22"/>
          <w:szCs w:val="22"/>
        </w:rPr>
      </w:pPr>
    </w:p>
    <w:p w:rsidR="00E13946" w:rsidRPr="00E13946" w:rsidRDefault="00443783" w:rsidP="00E13946">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057DA7" w:rsidRDefault="00057DA7" w:rsidP="00057DA7">
      <w:pPr>
        <w:spacing w:after="0" w:line="240" w:lineRule="auto"/>
        <w:ind w:left="720"/>
        <w:contextualSpacing/>
        <w:jc w:val="both"/>
        <w:rPr>
          <w:rFonts w:ascii="Verdana" w:eastAsia="Calibri" w:hAnsi="Verdana"/>
          <w:b/>
          <w:sz w:val="22"/>
          <w:szCs w:val="22"/>
        </w:rPr>
      </w:pPr>
    </w:p>
    <w:tbl>
      <w:tblPr>
        <w:tblW w:w="10490" w:type="dxa"/>
        <w:tblLayout w:type="fixed"/>
        <w:tblCellMar>
          <w:left w:w="70" w:type="dxa"/>
          <w:right w:w="70" w:type="dxa"/>
        </w:tblCellMar>
        <w:tblLook w:val="04A0" w:firstRow="1" w:lastRow="0" w:firstColumn="1" w:lastColumn="0" w:noHBand="0" w:noVBand="1"/>
      </w:tblPr>
      <w:tblGrid>
        <w:gridCol w:w="852"/>
        <w:gridCol w:w="7229"/>
        <w:gridCol w:w="1134"/>
        <w:gridCol w:w="1275"/>
      </w:tblGrid>
      <w:tr w:rsidR="00E13946" w:rsidRPr="00D8127D" w:rsidTr="00E13946">
        <w:trPr>
          <w:trHeight w:val="870"/>
        </w:trPr>
        <w:tc>
          <w:tcPr>
            <w:tcW w:w="852" w:type="dxa"/>
            <w:tcBorders>
              <w:top w:val="double" w:sz="6" w:space="0" w:color="auto"/>
              <w:left w:val="double" w:sz="6" w:space="0" w:color="auto"/>
              <w:bottom w:val="nil"/>
              <w:right w:val="double" w:sz="6" w:space="0" w:color="auto"/>
            </w:tcBorders>
            <w:shd w:val="clear" w:color="000000" w:fill="E46D0A"/>
            <w:vAlign w:val="center"/>
            <w:hideMark/>
          </w:tcPr>
          <w:p w:rsidR="00D8127D" w:rsidRPr="00D8127D" w:rsidRDefault="00D8127D" w:rsidP="00D8127D">
            <w:pPr>
              <w:spacing w:after="0" w:line="240" w:lineRule="auto"/>
              <w:jc w:val="center"/>
              <w:rPr>
                <w:rFonts w:ascii="Verdana" w:eastAsia="Times New Roman" w:hAnsi="Verdana" w:cs="Times New Roman"/>
                <w:b/>
                <w:bCs/>
                <w:color w:val="000000"/>
                <w:sz w:val="21"/>
                <w:szCs w:val="21"/>
                <w:lang w:val="es-DO" w:eastAsia="es-DO"/>
              </w:rPr>
            </w:pPr>
            <w:proofErr w:type="spellStart"/>
            <w:r w:rsidRPr="00D8127D">
              <w:rPr>
                <w:rFonts w:ascii="Verdana" w:eastAsia="Times New Roman" w:hAnsi="Verdana" w:cs="Times New Roman"/>
                <w:b/>
                <w:bCs/>
                <w:color w:val="000000"/>
                <w:sz w:val="21"/>
                <w:szCs w:val="21"/>
                <w:lang w:val="es-DO" w:eastAsia="es-DO"/>
              </w:rPr>
              <w:t>Items</w:t>
            </w:r>
            <w:proofErr w:type="spellEnd"/>
          </w:p>
        </w:tc>
        <w:tc>
          <w:tcPr>
            <w:tcW w:w="7229" w:type="dxa"/>
            <w:tcBorders>
              <w:top w:val="double" w:sz="6" w:space="0" w:color="auto"/>
              <w:left w:val="nil"/>
              <w:bottom w:val="nil"/>
              <w:right w:val="double" w:sz="6" w:space="0" w:color="auto"/>
            </w:tcBorders>
            <w:shd w:val="clear" w:color="000000" w:fill="E46D0A"/>
            <w:vAlign w:val="center"/>
            <w:hideMark/>
          </w:tcPr>
          <w:p w:rsidR="00D8127D" w:rsidRPr="00D8127D" w:rsidRDefault="00D8127D" w:rsidP="00D8127D">
            <w:pPr>
              <w:spacing w:after="0" w:line="240" w:lineRule="auto"/>
              <w:jc w:val="center"/>
              <w:rPr>
                <w:rFonts w:ascii="Verdana" w:eastAsia="Times New Roman" w:hAnsi="Verdana" w:cs="Times New Roman"/>
                <w:b/>
                <w:bCs/>
                <w:color w:val="000000"/>
                <w:sz w:val="21"/>
                <w:szCs w:val="21"/>
                <w:lang w:val="es-DO" w:eastAsia="es-DO"/>
              </w:rPr>
            </w:pPr>
            <w:r w:rsidRPr="00D8127D">
              <w:rPr>
                <w:rFonts w:ascii="Verdana" w:eastAsia="Times New Roman" w:hAnsi="Verdana" w:cs="Times New Roman"/>
                <w:b/>
                <w:bCs/>
                <w:color w:val="000000"/>
                <w:sz w:val="21"/>
                <w:szCs w:val="21"/>
                <w:lang w:val="es-DO" w:eastAsia="es-DO"/>
              </w:rPr>
              <w:t>Descripción</w:t>
            </w:r>
          </w:p>
        </w:tc>
        <w:tc>
          <w:tcPr>
            <w:tcW w:w="1134" w:type="dxa"/>
            <w:tcBorders>
              <w:top w:val="double" w:sz="6" w:space="0" w:color="auto"/>
              <w:left w:val="nil"/>
              <w:bottom w:val="nil"/>
              <w:right w:val="double" w:sz="6" w:space="0" w:color="auto"/>
            </w:tcBorders>
            <w:shd w:val="clear" w:color="000000" w:fill="E46D0A"/>
            <w:vAlign w:val="center"/>
            <w:hideMark/>
          </w:tcPr>
          <w:p w:rsidR="00D8127D" w:rsidRPr="00D8127D" w:rsidRDefault="00D8127D" w:rsidP="00D8127D">
            <w:pPr>
              <w:spacing w:after="0" w:line="240" w:lineRule="auto"/>
              <w:jc w:val="center"/>
              <w:rPr>
                <w:rFonts w:ascii="Verdana" w:eastAsia="Times New Roman" w:hAnsi="Verdana" w:cs="Times New Roman"/>
                <w:b/>
                <w:bCs/>
                <w:color w:val="000000"/>
                <w:sz w:val="22"/>
                <w:szCs w:val="22"/>
                <w:lang w:val="es-DO" w:eastAsia="es-DO"/>
              </w:rPr>
            </w:pPr>
            <w:r w:rsidRPr="00D8127D">
              <w:rPr>
                <w:rFonts w:ascii="Verdana" w:eastAsia="Times New Roman" w:hAnsi="Verdana" w:cs="Times New Roman"/>
                <w:b/>
                <w:bCs/>
                <w:color w:val="000000"/>
                <w:sz w:val="22"/>
                <w:szCs w:val="22"/>
                <w:lang w:val="es-DO" w:eastAsia="es-DO"/>
              </w:rPr>
              <w:t>Unidad de medida</w:t>
            </w:r>
          </w:p>
        </w:tc>
        <w:tc>
          <w:tcPr>
            <w:tcW w:w="1275" w:type="dxa"/>
            <w:tcBorders>
              <w:top w:val="double" w:sz="6" w:space="0" w:color="auto"/>
              <w:left w:val="nil"/>
              <w:bottom w:val="nil"/>
              <w:right w:val="double" w:sz="6" w:space="0" w:color="auto"/>
            </w:tcBorders>
            <w:shd w:val="clear" w:color="000000" w:fill="E46D0A"/>
            <w:vAlign w:val="center"/>
            <w:hideMark/>
          </w:tcPr>
          <w:p w:rsidR="00D8127D" w:rsidRPr="00D8127D" w:rsidRDefault="00D8127D" w:rsidP="00D8127D">
            <w:pPr>
              <w:spacing w:after="0" w:line="240" w:lineRule="auto"/>
              <w:jc w:val="center"/>
              <w:rPr>
                <w:rFonts w:ascii="Verdana" w:eastAsia="Times New Roman" w:hAnsi="Verdana" w:cs="Times New Roman"/>
                <w:b/>
                <w:bCs/>
                <w:color w:val="000000"/>
                <w:sz w:val="22"/>
                <w:szCs w:val="22"/>
                <w:lang w:val="es-DO" w:eastAsia="es-DO"/>
              </w:rPr>
            </w:pPr>
            <w:r w:rsidRPr="00D8127D">
              <w:rPr>
                <w:rFonts w:ascii="Verdana" w:eastAsia="Times New Roman" w:hAnsi="Verdana" w:cs="Times New Roman"/>
                <w:b/>
                <w:bCs/>
                <w:color w:val="000000"/>
                <w:sz w:val="22"/>
                <w:szCs w:val="22"/>
                <w:lang w:val="es-DO" w:eastAsia="es-DO"/>
              </w:rPr>
              <w:t>Cantidad</w:t>
            </w:r>
          </w:p>
        </w:tc>
      </w:tr>
      <w:tr w:rsidR="00E13946" w:rsidRPr="00D8127D" w:rsidTr="00E13946">
        <w:trPr>
          <w:trHeight w:val="30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n-US" w:eastAsia="es-DO"/>
              </w:rPr>
            </w:pPr>
            <w:r w:rsidRPr="00D8127D">
              <w:rPr>
                <w:rFonts w:ascii="Calibri" w:eastAsia="Times New Roman" w:hAnsi="Calibri" w:cs="Times New Roman"/>
                <w:color w:val="000000"/>
                <w:sz w:val="22"/>
                <w:szCs w:val="22"/>
                <w:lang w:val="en-US" w:eastAsia="es-DO"/>
              </w:rPr>
              <w:t>Cable Duplex Fiber Patch LC-ST 7 Metros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4</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n-US" w:eastAsia="es-DO"/>
              </w:rPr>
            </w:pPr>
            <w:r w:rsidRPr="00D8127D">
              <w:rPr>
                <w:rFonts w:ascii="Calibri" w:eastAsia="Times New Roman" w:hAnsi="Calibri" w:cs="Times New Roman"/>
                <w:color w:val="000000"/>
                <w:sz w:val="22"/>
                <w:szCs w:val="22"/>
                <w:lang w:val="en-US" w:eastAsia="es-DO"/>
              </w:rPr>
              <w:t xml:space="preserve">Cisco WS-G5486 Long Wavelength </w:t>
            </w:r>
            <w:proofErr w:type="spellStart"/>
            <w:r w:rsidRPr="00D8127D">
              <w:rPr>
                <w:rFonts w:ascii="Calibri" w:eastAsia="Times New Roman" w:hAnsi="Calibri" w:cs="Times New Roman"/>
                <w:color w:val="000000"/>
                <w:sz w:val="22"/>
                <w:szCs w:val="22"/>
                <w:lang w:val="en-US" w:eastAsia="es-DO"/>
              </w:rPr>
              <w:t>Loug</w:t>
            </w:r>
            <w:proofErr w:type="spellEnd"/>
            <w:r w:rsidRPr="00D8127D">
              <w:rPr>
                <w:rFonts w:ascii="Calibri" w:eastAsia="Times New Roman" w:hAnsi="Calibri" w:cs="Times New Roman"/>
                <w:color w:val="000000"/>
                <w:sz w:val="22"/>
                <w:szCs w:val="22"/>
                <w:lang w:val="en-US" w:eastAsia="es-DO"/>
              </w:rPr>
              <w:t xml:space="preserve"> Haul 1000 Base/LX/LH Gigabit Interface Converter</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3</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n-US" w:eastAsia="es-DO"/>
              </w:rPr>
            </w:pPr>
            <w:r w:rsidRPr="00D8127D">
              <w:rPr>
                <w:rFonts w:ascii="Calibri" w:eastAsia="Times New Roman" w:hAnsi="Calibri" w:cs="Times New Roman"/>
                <w:color w:val="000000"/>
                <w:sz w:val="22"/>
                <w:szCs w:val="22"/>
                <w:lang w:val="en-US" w:eastAsia="es-DO"/>
              </w:rPr>
              <w:t xml:space="preserve">Gigabit SFP Module, Multi-Mode, </w:t>
            </w:r>
            <w:proofErr w:type="spellStart"/>
            <w:r w:rsidRPr="00D8127D">
              <w:rPr>
                <w:rFonts w:ascii="Calibri" w:eastAsia="Times New Roman" w:hAnsi="Calibri" w:cs="Times New Roman"/>
                <w:color w:val="000000"/>
                <w:sz w:val="22"/>
                <w:szCs w:val="22"/>
                <w:lang w:val="en-US" w:eastAsia="es-DO"/>
              </w:rPr>
              <w:t>MiniGBIC</w:t>
            </w:r>
            <w:proofErr w:type="spellEnd"/>
            <w:r w:rsidRPr="00D8127D">
              <w:rPr>
                <w:rFonts w:ascii="Calibri" w:eastAsia="Times New Roman" w:hAnsi="Calibri" w:cs="Times New Roman"/>
                <w:color w:val="000000"/>
                <w:sz w:val="22"/>
                <w:szCs w:val="22"/>
                <w:lang w:val="en-US" w:eastAsia="es-DO"/>
              </w:rPr>
              <w:t>, LC</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4</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UPS para los usuarios de la Base de Datos </w:t>
            </w:r>
            <w:proofErr w:type="spellStart"/>
            <w:r w:rsidRPr="00D8127D">
              <w:rPr>
                <w:rFonts w:ascii="Calibri" w:eastAsia="Times New Roman" w:hAnsi="Calibri" w:cs="Times New Roman"/>
                <w:color w:val="000000"/>
                <w:sz w:val="22"/>
                <w:szCs w:val="22"/>
                <w:lang w:val="es-DO" w:eastAsia="es-DO"/>
              </w:rPr>
              <w:t>On</w:t>
            </w:r>
            <w:proofErr w:type="spellEnd"/>
            <w:r w:rsidRPr="00D8127D">
              <w:rPr>
                <w:rFonts w:ascii="Calibri" w:eastAsia="Times New Roman" w:hAnsi="Calibri" w:cs="Times New Roman"/>
                <w:color w:val="000000"/>
                <w:sz w:val="22"/>
                <w:szCs w:val="22"/>
                <w:lang w:val="es-DO" w:eastAsia="es-DO"/>
              </w:rPr>
              <w:t xml:space="preserve"> Base, color Negro, 120V y control de Panel Led</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Impresora </w:t>
            </w:r>
            <w:proofErr w:type="spellStart"/>
            <w:r w:rsidRPr="00D8127D">
              <w:rPr>
                <w:rFonts w:ascii="Calibri" w:eastAsia="Times New Roman" w:hAnsi="Calibri" w:cs="Times New Roman"/>
                <w:color w:val="000000"/>
                <w:sz w:val="22"/>
                <w:szCs w:val="22"/>
                <w:lang w:val="es-DO" w:eastAsia="es-DO"/>
              </w:rPr>
              <w:t>Termica</w:t>
            </w:r>
            <w:proofErr w:type="spellEnd"/>
            <w:r w:rsidRPr="00D8127D">
              <w:rPr>
                <w:rFonts w:ascii="Calibri" w:eastAsia="Times New Roman" w:hAnsi="Calibri" w:cs="Times New Roman"/>
                <w:color w:val="000000"/>
                <w:sz w:val="22"/>
                <w:szCs w:val="22"/>
                <w:lang w:val="es-DO" w:eastAsia="es-DO"/>
              </w:rPr>
              <w:t xml:space="preserve"> de Escritorio )para Tickets de 2 </w:t>
            </w:r>
            <w:proofErr w:type="spellStart"/>
            <w:r w:rsidRPr="00D8127D">
              <w:rPr>
                <w:rFonts w:ascii="Calibri" w:eastAsia="Times New Roman" w:hAnsi="Calibri" w:cs="Times New Roman"/>
                <w:color w:val="000000"/>
                <w:sz w:val="22"/>
                <w:szCs w:val="22"/>
                <w:lang w:val="es-DO" w:eastAsia="es-DO"/>
              </w:rPr>
              <w:t>Pulgs</w:t>
            </w:r>
            <w:proofErr w:type="spellEnd"/>
            <w:r w:rsidRPr="00D8127D">
              <w:rPr>
                <w:rFonts w:ascii="Calibri" w:eastAsia="Times New Roman" w:hAnsi="Calibri" w:cs="Times New Roman"/>
                <w:color w:val="000000"/>
                <w:sz w:val="22"/>
                <w:szCs w:val="22"/>
                <w:lang w:val="es-DO" w:eastAsia="es-DO"/>
              </w:rPr>
              <w:t>), incluye: Instalación y Configuración</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6</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Kit de Rollos para Scanner Fujitsu Modelo FI-6670</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w:t>
            </w:r>
          </w:p>
        </w:tc>
      </w:tr>
      <w:tr w:rsidR="00E13946" w:rsidRPr="00D8127D" w:rsidTr="00E13946">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7</w:t>
            </w:r>
          </w:p>
        </w:tc>
        <w:tc>
          <w:tcPr>
            <w:tcW w:w="7229" w:type="dxa"/>
            <w:tcBorders>
              <w:top w:val="nil"/>
              <w:left w:val="nil"/>
              <w:bottom w:val="single" w:sz="4" w:space="0" w:color="auto"/>
              <w:right w:val="single" w:sz="4" w:space="0" w:color="auto"/>
            </w:tcBorders>
            <w:shd w:val="clear" w:color="auto" w:fill="auto"/>
            <w:vAlign w:val="center"/>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Scanner (Fujitsu </w:t>
            </w:r>
            <w:proofErr w:type="spellStart"/>
            <w:r w:rsidRPr="00D8127D">
              <w:rPr>
                <w:rFonts w:ascii="Calibri" w:eastAsia="Times New Roman" w:hAnsi="Calibri" w:cs="Times New Roman"/>
                <w:color w:val="000000"/>
                <w:sz w:val="22"/>
                <w:szCs w:val="22"/>
                <w:lang w:val="es-DO" w:eastAsia="es-DO"/>
              </w:rPr>
              <w:t>Scansnap</w:t>
            </w:r>
            <w:proofErr w:type="spellEnd"/>
            <w:r w:rsidRPr="00D8127D">
              <w:rPr>
                <w:rFonts w:ascii="Calibri" w:eastAsia="Times New Roman" w:hAnsi="Calibri" w:cs="Times New Roman"/>
                <w:color w:val="000000"/>
                <w:sz w:val="22"/>
                <w:szCs w:val="22"/>
                <w:lang w:val="es-DO" w:eastAsia="es-DO"/>
              </w:rPr>
              <w:t xml:space="preserve"> IX500) o Similar Compatible para la Aplicación TRE de Contraloría Gral. </w:t>
            </w:r>
            <w:proofErr w:type="gramStart"/>
            <w:r w:rsidRPr="00D8127D">
              <w:rPr>
                <w:rFonts w:ascii="Calibri" w:eastAsia="Times New Roman" w:hAnsi="Calibri" w:cs="Times New Roman"/>
                <w:color w:val="000000"/>
                <w:sz w:val="22"/>
                <w:szCs w:val="22"/>
                <w:lang w:val="es-DO" w:eastAsia="es-DO"/>
              </w:rPr>
              <w:t>de</w:t>
            </w:r>
            <w:proofErr w:type="gramEnd"/>
            <w:r w:rsidRPr="00D8127D">
              <w:rPr>
                <w:rFonts w:ascii="Calibri" w:eastAsia="Times New Roman" w:hAnsi="Calibri" w:cs="Times New Roman"/>
                <w:color w:val="000000"/>
                <w:sz w:val="22"/>
                <w:szCs w:val="22"/>
                <w:lang w:val="es-DO" w:eastAsia="es-DO"/>
              </w:rPr>
              <w:t xml:space="preserve"> la Rep. Dom.</w:t>
            </w:r>
          </w:p>
        </w:tc>
        <w:tc>
          <w:tcPr>
            <w:tcW w:w="1134" w:type="dxa"/>
            <w:tcBorders>
              <w:top w:val="nil"/>
              <w:left w:val="nil"/>
              <w:bottom w:val="single" w:sz="4" w:space="0" w:color="auto"/>
              <w:right w:val="single" w:sz="4" w:space="0" w:color="auto"/>
            </w:tcBorders>
            <w:shd w:val="clear" w:color="auto" w:fill="auto"/>
            <w:noWrap/>
            <w:vAlign w:val="center"/>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8</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Fusor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M2035DN/L</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9</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Magenta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P6026</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10</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Yellow</w:t>
            </w:r>
            <w:proofErr w:type="spellEnd"/>
            <w:r w:rsidRPr="00D8127D">
              <w:rPr>
                <w:rFonts w:ascii="Calibri" w:eastAsia="Times New Roman" w:hAnsi="Calibri" w:cs="Times New Roman"/>
                <w:color w:val="000000"/>
                <w:sz w:val="22"/>
                <w:szCs w:val="22"/>
                <w:lang w:val="es-DO" w:eastAsia="es-DO"/>
              </w:rPr>
              <w:t xml:space="preserve">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P6026</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11</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Contenedor de </w:t>
            </w: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Residual para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4501i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25</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12</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Contenedor de </w:t>
            </w: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Residual para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8001i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13</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Cyan</w:t>
            </w:r>
            <w:proofErr w:type="spellEnd"/>
            <w:r w:rsidRPr="00D8127D">
              <w:rPr>
                <w:rFonts w:ascii="Calibri" w:eastAsia="Times New Roman" w:hAnsi="Calibri" w:cs="Times New Roman"/>
                <w:color w:val="000000"/>
                <w:sz w:val="22"/>
                <w:szCs w:val="22"/>
                <w:lang w:val="es-DO" w:eastAsia="es-DO"/>
              </w:rPr>
              <w:t xml:space="preserve">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P6026</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14</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305A (CE410A) Negro</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9</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15</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Xerox M20</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6</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16</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Negro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8001i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17</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Negro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4501i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25</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18</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Negro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M2035DN/L</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200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19</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proofErr w:type="spellStart"/>
            <w:r w:rsidRPr="00D8127D">
              <w:rPr>
                <w:rFonts w:ascii="Calibri" w:eastAsia="Times New Roman" w:hAnsi="Calibri" w:cs="Times New Roman"/>
                <w:color w:val="000000"/>
                <w:sz w:val="22"/>
                <w:szCs w:val="22"/>
                <w:lang w:val="es-DO" w:eastAsia="es-DO"/>
              </w:rPr>
              <w:t>Toner</w:t>
            </w:r>
            <w:proofErr w:type="spellEnd"/>
            <w:r w:rsidRPr="00D8127D">
              <w:rPr>
                <w:rFonts w:ascii="Calibri" w:eastAsia="Times New Roman" w:hAnsi="Calibri" w:cs="Times New Roman"/>
                <w:color w:val="000000"/>
                <w:sz w:val="22"/>
                <w:szCs w:val="22"/>
                <w:lang w:val="es-DO" w:eastAsia="es-DO"/>
              </w:rPr>
              <w:t xml:space="preserve"> Negro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P6026</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20</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Kit de Mantenimiento C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8001i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21</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Kit de Mantenimiento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4501i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10</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22</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Kit de Mantenimiento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Ecosys</w:t>
            </w:r>
            <w:proofErr w:type="spellEnd"/>
            <w:r w:rsidRPr="00D8127D">
              <w:rPr>
                <w:rFonts w:ascii="Calibri" w:eastAsia="Times New Roman" w:hAnsi="Calibri" w:cs="Times New Roman"/>
                <w:color w:val="000000"/>
                <w:sz w:val="22"/>
                <w:szCs w:val="22"/>
                <w:lang w:val="es-DO" w:eastAsia="es-DO"/>
              </w:rPr>
              <w:t xml:space="preserve"> M2035DN/L</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15</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23</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Kit de Mantenimiento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P6026CDN</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w:t>
            </w:r>
          </w:p>
        </w:tc>
      </w:tr>
      <w:tr w:rsidR="00E13946" w:rsidRPr="00D8127D" w:rsidTr="00E13946">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24</w:t>
            </w:r>
          </w:p>
        </w:tc>
        <w:tc>
          <w:tcPr>
            <w:tcW w:w="7229"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Kit de Mantenimiento A para </w:t>
            </w:r>
            <w:proofErr w:type="spellStart"/>
            <w:r w:rsidRPr="00D8127D">
              <w:rPr>
                <w:rFonts w:ascii="Calibri" w:eastAsia="Times New Roman" w:hAnsi="Calibri" w:cs="Times New Roman"/>
                <w:color w:val="000000"/>
                <w:sz w:val="22"/>
                <w:szCs w:val="22"/>
                <w:lang w:val="es-DO" w:eastAsia="es-DO"/>
              </w:rPr>
              <w:t>Kyocera</w:t>
            </w:r>
            <w:proofErr w:type="spellEnd"/>
            <w:r w:rsidRPr="00D8127D">
              <w:rPr>
                <w:rFonts w:ascii="Calibri" w:eastAsia="Times New Roman" w:hAnsi="Calibri" w:cs="Times New Roman"/>
                <w:color w:val="000000"/>
                <w:sz w:val="22"/>
                <w:szCs w:val="22"/>
                <w:lang w:val="es-DO" w:eastAsia="es-DO"/>
              </w:rPr>
              <w:t xml:space="preserve"> </w:t>
            </w:r>
            <w:proofErr w:type="spellStart"/>
            <w:r w:rsidRPr="00D8127D">
              <w:rPr>
                <w:rFonts w:ascii="Calibri" w:eastAsia="Times New Roman" w:hAnsi="Calibri" w:cs="Times New Roman"/>
                <w:color w:val="000000"/>
                <w:sz w:val="22"/>
                <w:szCs w:val="22"/>
                <w:lang w:val="es-DO" w:eastAsia="es-DO"/>
              </w:rPr>
              <w:t>Taskalfa</w:t>
            </w:r>
            <w:proofErr w:type="spellEnd"/>
            <w:r w:rsidRPr="00D8127D">
              <w:rPr>
                <w:rFonts w:ascii="Calibri" w:eastAsia="Times New Roman" w:hAnsi="Calibri" w:cs="Times New Roman"/>
                <w:color w:val="000000"/>
                <w:sz w:val="22"/>
                <w:szCs w:val="22"/>
                <w:lang w:val="es-DO" w:eastAsia="es-DO"/>
              </w:rPr>
              <w:t xml:space="preserve"> 8001i</w:t>
            </w:r>
          </w:p>
        </w:tc>
        <w:tc>
          <w:tcPr>
            <w:tcW w:w="1134"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bottom"/>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5</w:t>
            </w:r>
          </w:p>
        </w:tc>
      </w:tr>
      <w:tr w:rsidR="00E13946" w:rsidRPr="00D8127D" w:rsidTr="00E13946">
        <w:trPr>
          <w:trHeight w:val="6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25</w:t>
            </w:r>
          </w:p>
        </w:tc>
        <w:tc>
          <w:tcPr>
            <w:tcW w:w="7229" w:type="dxa"/>
            <w:tcBorders>
              <w:top w:val="nil"/>
              <w:left w:val="nil"/>
              <w:bottom w:val="single" w:sz="4" w:space="0" w:color="auto"/>
              <w:right w:val="single" w:sz="4" w:space="0" w:color="auto"/>
            </w:tcBorders>
            <w:shd w:val="clear" w:color="auto" w:fill="auto"/>
            <w:vAlign w:val="center"/>
            <w:hideMark/>
          </w:tcPr>
          <w:p w:rsidR="00D8127D" w:rsidRPr="00D8127D" w:rsidRDefault="00D8127D" w:rsidP="00D8127D">
            <w:pPr>
              <w:spacing w:after="0" w:line="240" w:lineRule="auto"/>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Reloj de Control de Asistencia con Huella Digital, con pantalla a color TFT 3', 16 teclas, capacidad para 3000 huellas</w:t>
            </w:r>
          </w:p>
        </w:tc>
        <w:tc>
          <w:tcPr>
            <w:tcW w:w="1134" w:type="dxa"/>
            <w:tcBorders>
              <w:top w:val="nil"/>
              <w:left w:val="nil"/>
              <w:bottom w:val="single" w:sz="4" w:space="0" w:color="auto"/>
              <w:right w:val="single" w:sz="4" w:space="0" w:color="auto"/>
            </w:tcBorders>
            <w:shd w:val="clear" w:color="auto" w:fill="auto"/>
            <w:noWrap/>
            <w:vAlign w:val="center"/>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D8127D" w:rsidRPr="00D8127D" w:rsidRDefault="00D8127D" w:rsidP="00D8127D">
            <w:pPr>
              <w:spacing w:after="0" w:line="240" w:lineRule="auto"/>
              <w:jc w:val="center"/>
              <w:rPr>
                <w:rFonts w:ascii="Calibri" w:eastAsia="Times New Roman" w:hAnsi="Calibri" w:cs="Times New Roman"/>
                <w:color w:val="000000"/>
                <w:sz w:val="22"/>
                <w:szCs w:val="22"/>
                <w:lang w:val="es-DO" w:eastAsia="es-DO"/>
              </w:rPr>
            </w:pPr>
            <w:r w:rsidRPr="00D8127D">
              <w:rPr>
                <w:rFonts w:ascii="Calibri" w:eastAsia="Times New Roman" w:hAnsi="Calibri" w:cs="Times New Roman"/>
                <w:color w:val="000000"/>
                <w:sz w:val="22"/>
                <w:szCs w:val="22"/>
                <w:lang w:val="es-DO" w:eastAsia="es-DO"/>
              </w:rPr>
              <w:t>6</w:t>
            </w:r>
          </w:p>
        </w:tc>
      </w:tr>
    </w:tbl>
    <w:p w:rsidR="0001176F" w:rsidRDefault="0001176F" w:rsidP="00DE4012">
      <w:pPr>
        <w:spacing w:after="0" w:line="240" w:lineRule="auto"/>
        <w:contextualSpacing/>
        <w:jc w:val="both"/>
        <w:rPr>
          <w:rFonts w:ascii="Verdana" w:eastAsia="Times New Roman" w:hAnsi="Verdana"/>
          <w:b/>
          <w:sz w:val="22"/>
          <w:szCs w:val="22"/>
          <w:lang w:val="es-DO" w:eastAsia="es-ES"/>
        </w:rPr>
      </w:pPr>
    </w:p>
    <w:p w:rsidR="00AA55D9" w:rsidRPr="00AA55D9" w:rsidRDefault="00AA55D9" w:rsidP="00AA55D9">
      <w:pPr>
        <w:spacing w:after="0" w:line="240" w:lineRule="auto"/>
        <w:jc w:val="both"/>
        <w:rPr>
          <w:rFonts w:ascii="Verdana" w:eastAsia="Calibri" w:hAnsi="Verdana" w:cs="Times New Roman"/>
          <w:sz w:val="22"/>
          <w:szCs w:val="22"/>
          <w:lang w:val="es-DO" w:eastAsia="es-ES"/>
        </w:rPr>
      </w:pPr>
      <w:r w:rsidRPr="00AA55D9">
        <w:rPr>
          <w:rFonts w:ascii="Verdana" w:eastAsia="Calibri" w:hAnsi="Verdana" w:cs="Times New Roman"/>
          <w:b/>
          <w:bCs/>
          <w:sz w:val="22"/>
          <w:szCs w:val="22"/>
          <w:lang w:val="es-DO" w:eastAsia="es-ES"/>
        </w:rPr>
        <w:t xml:space="preserve">NOTA1: </w:t>
      </w:r>
      <w:r w:rsidRPr="00AA55D9">
        <w:rPr>
          <w:rFonts w:ascii="Verdana" w:eastAsia="Calibri" w:hAnsi="Verdana" w:cs="Times New Roman"/>
          <w:sz w:val="22"/>
          <w:szCs w:val="22"/>
          <w:lang w:val="es-DO" w:eastAsia="es-ES"/>
        </w:rPr>
        <w:t xml:space="preserve">Todos los productos Cartuchos y </w:t>
      </w:r>
      <w:proofErr w:type="spellStart"/>
      <w:r w:rsidRPr="00AA55D9">
        <w:rPr>
          <w:rFonts w:ascii="Verdana" w:eastAsia="Calibri" w:hAnsi="Verdana" w:cs="Times New Roman"/>
          <w:sz w:val="22"/>
          <w:szCs w:val="22"/>
          <w:lang w:val="es-DO" w:eastAsia="es-ES"/>
        </w:rPr>
        <w:t>Tóners</w:t>
      </w:r>
      <w:proofErr w:type="spellEnd"/>
      <w:r w:rsidRPr="00AA55D9">
        <w:rPr>
          <w:rFonts w:ascii="Verdana" w:eastAsia="Calibri" w:hAnsi="Verdana" w:cs="Times New Roman"/>
          <w:sz w:val="22"/>
          <w:szCs w:val="22"/>
          <w:lang w:val="es-DO" w:eastAsia="es-ES"/>
        </w:rPr>
        <w:t xml:space="preserve"> deben ser Originales</w:t>
      </w:r>
    </w:p>
    <w:p w:rsidR="00AA55D9" w:rsidRPr="00AA55D9" w:rsidRDefault="00AA55D9" w:rsidP="00AA55D9">
      <w:pPr>
        <w:spacing w:after="0" w:line="240" w:lineRule="auto"/>
        <w:jc w:val="both"/>
        <w:rPr>
          <w:rFonts w:ascii="Verdana" w:eastAsia="Calibri" w:hAnsi="Verdana" w:cs="Times New Roman"/>
          <w:sz w:val="22"/>
          <w:szCs w:val="22"/>
          <w:lang w:val="es-DO" w:eastAsia="es-ES"/>
        </w:rPr>
      </w:pPr>
    </w:p>
    <w:p w:rsidR="00AA55D9" w:rsidRPr="00AA55D9" w:rsidRDefault="00AA55D9" w:rsidP="00AA55D9">
      <w:pPr>
        <w:spacing w:after="0" w:line="240" w:lineRule="auto"/>
        <w:jc w:val="both"/>
        <w:rPr>
          <w:rFonts w:ascii="Verdana" w:eastAsia="Calibri" w:hAnsi="Verdana" w:cs="Times New Roman"/>
          <w:b/>
          <w:bCs/>
          <w:sz w:val="22"/>
          <w:szCs w:val="22"/>
          <w:lang w:val="es-DO" w:eastAsia="es-ES"/>
        </w:rPr>
      </w:pPr>
      <w:r w:rsidRPr="00AA55D9">
        <w:rPr>
          <w:rFonts w:ascii="Verdana" w:eastAsia="Calibri" w:hAnsi="Verdana" w:cs="Times New Roman"/>
          <w:b/>
          <w:bCs/>
          <w:sz w:val="22"/>
          <w:szCs w:val="22"/>
          <w:lang w:val="es-DO" w:eastAsia="es-ES"/>
        </w:rPr>
        <w:t xml:space="preserve">NOTA2: </w:t>
      </w:r>
      <w:r w:rsidRPr="00AA55D9">
        <w:rPr>
          <w:rFonts w:ascii="Verdana" w:eastAsia="Calibri" w:hAnsi="Verdana" w:cs="Times New Roman"/>
          <w:sz w:val="22"/>
          <w:szCs w:val="22"/>
          <w:lang w:val="es-DO" w:eastAsia="es-ES"/>
        </w:rPr>
        <w:t xml:space="preserve">Todos los fusores, </w:t>
      </w:r>
      <w:proofErr w:type="spellStart"/>
      <w:r w:rsidRPr="00AA55D9">
        <w:rPr>
          <w:rFonts w:ascii="Verdana" w:eastAsia="Calibri" w:hAnsi="Verdana" w:cs="Times New Roman"/>
          <w:sz w:val="22"/>
          <w:szCs w:val="22"/>
          <w:lang w:val="es-DO" w:eastAsia="es-ES"/>
        </w:rPr>
        <w:t>Toners</w:t>
      </w:r>
      <w:proofErr w:type="spellEnd"/>
      <w:r w:rsidRPr="00AA55D9">
        <w:rPr>
          <w:rFonts w:ascii="Verdana" w:eastAsia="Calibri" w:hAnsi="Verdana" w:cs="Times New Roman"/>
          <w:sz w:val="22"/>
          <w:szCs w:val="22"/>
          <w:lang w:val="es-DO" w:eastAsia="es-ES"/>
        </w:rPr>
        <w:t xml:space="preserve"> y Kit de Mantenimiento </w:t>
      </w:r>
      <w:proofErr w:type="spellStart"/>
      <w:r w:rsidRPr="00AA55D9">
        <w:rPr>
          <w:rFonts w:ascii="Verdana" w:eastAsia="Calibri" w:hAnsi="Verdana" w:cs="Times New Roman"/>
          <w:sz w:val="22"/>
          <w:szCs w:val="22"/>
          <w:lang w:val="es-DO" w:eastAsia="es-ES"/>
        </w:rPr>
        <w:t>Kyocera</w:t>
      </w:r>
      <w:proofErr w:type="spellEnd"/>
      <w:r w:rsidRPr="00AA55D9">
        <w:rPr>
          <w:rFonts w:ascii="Verdana" w:eastAsia="Calibri" w:hAnsi="Verdana" w:cs="Times New Roman"/>
          <w:sz w:val="22"/>
          <w:szCs w:val="22"/>
          <w:lang w:val="es-DO" w:eastAsia="es-ES"/>
        </w:rPr>
        <w:t xml:space="preserve"> deben presentar carta de fabricante indicando que son originales y que no se pierde la garantía.</w:t>
      </w:r>
    </w:p>
    <w:p w:rsidR="00AA55D9" w:rsidRDefault="00AA55D9" w:rsidP="00AA55D9">
      <w:pPr>
        <w:spacing w:after="0" w:line="240" w:lineRule="auto"/>
        <w:rPr>
          <w:rFonts w:ascii="Calibri" w:eastAsia="Calibri" w:hAnsi="Calibri" w:cs="Times New Roman"/>
          <w:color w:val="1F497D"/>
          <w:sz w:val="22"/>
          <w:szCs w:val="22"/>
          <w:lang w:val="es-DO" w:eastAsia="es-DO"/>
        </w:rPr>
      </w:pPr>
    </w:p>
    <w:p w:rsidR="00AA55D9" w:rsidRPr="00AA55D9" w:rsidRDefault="00AA55D9" w:rsidP="00AA55D9">
      <w:pPr>
        <w:spacing w:after="0" w:line="240" w:lineRule="auto"/>
        <w:rPr>
          <w:rFonts w:ascii="Calibri" w:eastAsia="Calibri" w:hAnsi="Calibri" w:cs="Times New Roman"/>
          <w:color w:val="1F497D"/>
          <w:sz w:val="22"/>
          <w:szCs w:val="22"/>
          <w:lang w:val="es-DO" w:eastAsia="es-DO"/>
        </w:rPr>
      </w:pPr>
    </w:p>
    <w:p w:rsidR="00AA55D9" w:rsidRDefault="00AA55D9" w:rsidP="00DE4012">
      <w:pPr>
        <w:spacing w:after="0" w:line="240" w:lineRule="auto"/>
        <w:contextualSpacing/>
        <w:jc w:val="both"/>
        <w:rPr>
          <w:rFonts w:ascii="Verdana" w:eastAsia="Times New Roman" w:hAnsi="Verdana"/>
          <w:b/>
          <w:sz w:val="22"/>
          <w:szCs w:val="22"/>
          <w:lang w:val="es-DO" w:eastAsia="es-ES"/>
        </w:rPr>
      </w:pPr>
    </w:p>
    <w:p w:rsidR="00AA55D9" w:rsidRDefault="00AA55D9"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EA678A" w:rsidRDefault="00A65AF5" w:rsidP="00E13946">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3E7E93" w:rsidRDefault="003E7E93" w:rsidP="00E13946">
      <w:pPr>
        <w:spacing w:after="0" w:line="240" w:lineRule="auto"/>
        <w:ind w:left="405"/>
        <w:contextualSpacing/>
        <w:jc w:val="both"/>
        <w:rPr>
          <w:rFonts w:ascii="Verdana" w:eastAsia="Times New Roman" w:hAnsi="Verdana"/>
          <w:sz w:val="22"/>
          <w:szCs w:val="22"/>
          <w:lang w:val="es-DO" w:eastAsia="es-ES"/>
        </w:rPr>
      </w:pPr>
    </w:p>
    <w:p w:rsidR="00E13946" w:rsidRPr="006235D9" w:rsidRDefault="00E13946" w:rsidP="00E13946">
      <w:pPr>
        <w:spacing w:after="0" w:line="240" w:lineRule="auto"/>
        <w:ind w:left="405"/>
        <w:contextualSpacing/>
        <w:jc w:val="both"/>
        <w:rPr>
          <w:rFonts w:ascii="Verdana" w:eastAsia="Times New Roman" w:hAnsi="Verdana"/>
          <w:sz w:val="22"/>
          <w:szCs w:val="22"/>
          <w:lang w:val="es-DO" w:eastAsia="es-ES"/>
        </w:rPr>
      </w:pPr>
    </w:p>
    <w:p w:rsidR="00443783" w:rsidRDefault="00443783" w:rsidP="00E13946">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p>
    <w:p w:rsidR="00E13946" w:rsidRPr="00E13946" w:rsidRDefault="00E13946" w:rsidP="00E13946">
      <w:pPr>
        <w:spacing w:after="0" w:line="240" w:lineRule="auto"/>
        <w:ind w:left="720"/>
        <w:contextualSpacing/>
        <w:jc w:val="both"/>
        <w:rPr>
          <w:rFonts w:ascii="Verdana" w:eastAsia="Times New Roman" w:hAnsi="Verdana"/>
          <w:b/>
          <w:sz w:val="28"/>
          <w:szCs w:val="28"/>
          <w:lang w:val="es-DO" w:eastAsia="es-ES"/>
        </w:rPr>
      </w:pPr>
    </w:p>
    <w:p w:rsidR="0032067A" w:rsidRDefault="00443783" w:rsidP="00E13946">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E7E93" w:rsidRPr="00E13946" w:rsidRDefault="003E7E93" w:rsidP="00E13946">
      <w:pPr>
        <w:spacing w:after="0" w:line="240" w:lineRule="auto"/>
        <w:ind w:left="720"/>
        <w:contextualSpacing/>
        <w:jc w:val="both"/>
        <w:rPr>
          <w:rFonts w:ascii="Verdana" w:eastAsia="Times New Roman" w:hAnsi="Verdana"/>
          <w:sz w:val="22"/>
          <w:szCs w:val="22"/>
          <w:lang w:val="es-DO" w:eastAsia="es-ES"/>
        </w:rPr>
      </w:pPr>
    </w:p>
    <w:p w:rsidR="001B1055" w:rsidRPr="00443783" w:rsidRDefault="001B1055"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1E33F9">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EA678A" w:rsidRPr="00E13946" w:rsidRDefault="00EA678A" w:rsidP="00E13946">
      <w:pPr>
        <w:spacing w:after="0" w:line="240" w:lineRule="auto"/>
        <w:ind w:right="425"/>
        <w:jc w:val="both"/>
        <w:rPr>
          <w:rFonts w:ascii="Trebuchet MS" w:eastAsia="Calibri" w:hAnsi="Trebuchet MS"/>
          <w:sz w:val="22"/>
          <w:szCs w:val="22"/>
        </w:rPr>
      </w:pPr>
    </w:p>
    <w:p w:rsidR="001B1055" w:rsidRPr="001E33F9" w:rsidRDefault="001B1055" w:rsidP="001E33F9">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B96A14" w:rsidRPr="00E13946" w:rsidRDefault="00443783" w:rsidP="00B96A14">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EA678A" w:rsidRDefault="00EA678A" w:rsidP="00EA678A">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E13946" w:rsidRPr="00E13946"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w:t>
      </w:r>
      <w:r w:rsidR="00E13946">
        <w:rPr>
          <w:rFonts w:ascii="Verdana" w:eastAsia="Calibri" w:hAnsi="Verdana"/>
          <w:sz w:val="22"/>
          <w:szCs w:val="22"/>
        </w:rPr>
        <w:t>ido serán rechazadas en el acto</w:t>
      </w:r>
    </w:p>
    <w:p w:rsidR="00E13946" w:rsidRDefault="00E13946" w:rsidP="00443783">
      <w:pPr>
        <w:spacing w:after="0" w:line="240" w:lineRule="auto"/>
        <w:jc w:val="both"/>
        <w:rPr>
          <w:rFonts w:ascii="Verdana" w:hAnsi="Verdana"/>
          <w:sz w:val="22"/>
          <w:szCs w:val="22"/>
        </w:rPr>
      </w:pPr>
    </w:p>
    <w:p w:rsidR="00E13946" w:rsidRDefault="00E13946" w:rsidP="00443783">
      <w:pPr>
        <w:spacing w:after="0" w:line="240" w:lineRule="auto"/>
        <w:jc w:val="both"/>
        <w:rPr>
          <w:rFonts w:ascii="Verdana" w:hAnsi="Verdana"/>
          <w:sz w:val="22"/>
          <w:szCs w:val="22"/>
        </w:rPr>
      </w:pPr>
    </w:p>
    <w:p w:rsidR="00AA55D9" w:rsidRDefault="00AA55D9" w:rsidP="00443783">
      <w:pPr>
        <w:spacing w:after="0" w:line="240" w:lineRule="auto"/>
        <w:jc w:val="both"/>
        <w:rPr>
          <w:rFonts w:ascii="Verdana" w:hAnsi="Verdana"/>
          <w:sz w:val="22"/>
          <w:szCs w:val="22"/>
        </w:rPr>
      </w:pPr>
    </w:p>
    <w:p w:rsidR="00AA55D9" w:rsidRDefault="00AA55D9" w:rsidP="00443783">
      <w:pPr>
        <w:spacing w:after="0" w:line="240" w:lineRule="auto"/>
        <w:jc w:val="both"/>
        <w:rPr>
          <w:rFonts w:ascii="Verdana" w:hAnsi="Verdana"/>
          <w:sz w:val="22"/>
          <w:szCs w:val="22"/>
        </w:rPr>
      </w:pPr>
    </w:p>
    <w:p w:rsidR="00AA55D9" w:rsidRPr="00443783" w:rsidRDefault="00AA55D9" w:rsidP="00443783">
      <w:pPr>
        <w:spacing w:after="0" w:line="240" w:lineRule="auto"/>
        <w:jc w:val="both"/>
        <w:rPr>
          <w:rFonts w:ascii="Verdana" w:hAnsi="Verdana"/>
          <w:sz w:val="22"/>
          <w:szCs w:val="22"/>
        </w:rPr>
      </w:pPr>
      <w:bookmarkStart w:id="1" w:name="_GoBack"/>
      <w:bookmarkEnd w:id="1"/>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DA36FD">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3E7E93">
              <w:rPr>
                <w:rFonts w:ascii="Verdana" w:eastAsia="Times New Roman" w:hAnsi="Verdana" w:cs="Times New Roman"/>
                <w:b/>
                <w:bCs/>
                <w:color w:val="000000"/>
                <w:sz w:val="22"/>
                <w:szCs w:val="22"/>
                <w:lang w:eastAsia="es-DO"/>
              </w:rPr>
              <w:t>15</w:t>
            </w:r>
            <w:r w:rsidR="00D15938">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DA36FD" w:rsidP="003E7E93">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w:t>
            </w:r>
            <w:r w:rsidR="003E7E93">
              <w:rPr>
                <w:rFonts w:ascii="Verdana" w:eastAsia="Times New Roman" w:hAnsi="Verdana" w:cs="Times New Roman"/>
                <w:b/>
                <w:bCs/>
                <w:color w:val="000000"/>
                <w:sz w:val="22"/>
                <w:szCs w:val="22"/>
                <w:lang w:eastAsia="es-DO"/>
              </w:rPr>
              <w:t>6</w:t>
            </w:r>
            <w:r w:rsidR="00057DA7">
              <w:rPr>
                <w:rFonts w:ascii="Verdana" w:eastAsia="Times New Roman" w:hAnsi="Verdana" w:cs="Times New Roman"/>
                <w:b/>
                <w:bCs/>
                <w:color w:val="000000"/>
                <w:sz w:val="22"/>
                <w:szCs w:val="22"/>
                <w:lang w:eastAsia="es-DO"/>
              </w:rPr>
              <w:t xml:space="preserve"> y 1</w:t>
            </w:r>
            <w:r w:rsidR="003E7E93">
              <w:rPr>
                <w:rFonts w:ascii="Verdana" w:eastAsia="Times New Roman" w:hAnsi="Verdana" w:cs="Times New Roman"/>
                <w:b/>
                <w:bCs/>
                <w:color w:val="000000"/>
                <w:sz w:val="22"/>
                <w:szCs w:val="22"/>
                <w:lang w:eastAsia="es-DO"/>
              </w:rPr>
              <w:t>7</w:t>
            </w:r>
            <w:r w:rsidR="00EA678A">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A678A">
              <w:rPr>
                <w:rFonts w:ascii="Verdana" w:eastAsia="Times New Roman" w:hAnsi="Verdana" w:cs="Times New Roman"/>
                <w:b/>
                <w:bCs/>
                <w:color w:val="000000"/>
                <w:sz w:val="22"/>
                <w:szCs w:val="22"/>
                <w:lang w:eastAsia="es-DO"/>
              </w:rPr>
              <w:t xml:space="preserve">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3E7E93">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3E7E93">
              <w:rPr>
                <w:rFonts w:ascii="Verdana" w:eastAsia="Times New Roman" w:hAnsi="Verdana" w:cs="Times New Roman"/>
                <w:b/>
                <w:bCs/>
                <w:color w:val="000000"/>
                <w:sz w:val="22"/>
                <w:szCs w:val="22"/>
                <w:lang w:eastAsia="es-DO"/>
              </w:rPr>
              <w:t>18</w:t>
            </w:r>
            <w:r w:rsidR="00E72264">
              <w:rPr>
                <w:rFonts w:ascii="Verdana" w:eastAsia="Times New Roman" w:hAnsi="Verdana" w:cs="Times New Roman"/>
                <w:b/>
                <w:bCs/>
                <w:color w:val="000000"/>
                <w:sz w:val="22"/>
                <w:szCs w:val="22"/>
                <w:lang w:eastAsia="es-DO"/>
              </w:rPr>
              <w:t xml:space="preserve"> y </w:t>
            </w:r>
            <w:r w:rsidR="007857D6">
              <w:rPr>
                <w:rFonts w:ascii="Verdana" w:eastAsia="Times New Roman" w:hAnsi="Verdana" w:cs="Times New Roman"/>
                <w:b/>
                <w:bCs/>
                <w:color w:val="000000"/>
                <w:sz w:val="22"/>
                <w:szCs w:val="22"/>
                <w:lang w:eastAsia="es-DO"/>
              </w:rPr>
              <w:t>1</w:t>
            </w:r>
            <w:r w:rsidR="003E7E93">
              <w:rPr>
                <w:rFonts w:ascii="Verdana" w:eastAsia="Times New Roman" w:hAnsi="Verdana" w:cs="Times New Roman"/>
                <w:b/>
                <w:bCs/>
                <w:color w:val="000000"/>
                <w:sz w:val="22"/>
                <w:szCs w:val="22"/>
                <w:lang w:eastAsia="es-DO"/>
              </w:rPr>
              <w:t>9</w:t>
            </w:r>
            <w:r w:rsidR="00EB5154">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3E7E93">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3E7E93">
              <w:rPr>
                <w:rFonts w:ascii="Verdana" w:eastAsia="Times New Roman" w:hAnsi="Verdana" w:cs="Times New Roman"/>
                <w:b/>
                <w:bCs/>
                <w:color w:val="000000"/>
                <w:sz w:val="22"/>
                <w:szCs w:val="22"/>
                <w:lang w:eastAsia="es-DO"/>
              </w:rPr>
              <w:t>22</w:t>
            </w:r>
            <w:r w:rsidR="00E5658C">
              <w:rPr>
                <w:rFonts w:ascii="Verdana" w:eastAsia="Times New Roman" w:hAnsi="Verdana" w:cs="Times New Roman"/>
                <w:b/>
                <w:bCs/>
                <w:color w:val="000000"/>
                <w:sz w:val="22"/>
                <w:szCs w:val="22"/>
                <w:lang w:eastAsia="es-DO"/>
              </w:rPr>
              <w:t xml:space="preserve"> de </w:t>
            </w:r>
            <w:r w:rsidR="00EF014A">
              <w:rPr>
                <w:rFonts w:ascii="Verdana" w:eastAsia="Times New Roman" w:hAnsi="Verdana" w:cs="Times New Roman"/>
                <w:b/>
                <w:bCs/>
                <w:color w:val="000000"/>
                <w:sz w:val="22"/>
                <w:szCs w:val="22"/>
                <w:lang w:eastAsia="es-DO"/>
              </w:rPr>
              <w:t>Febrero</w:t>
            </w:r>
            <w:r w:rsidRPr="00443783">
              <w:rPr>
                <w:rFonts w:ascii="Verdana" w:eastAsia="Times New Roman" w:hAnsi="Verdana" w:cs="Times New Roman"/>
                <w:b/>
                <w:bCs/>
                <w:color w:val="000000"/>
                <w:sz w:val="22"/>
                <w:szCs w:val="22"/>
                <w:lang w:eastAsia="es-DO"/>
              </w:rPr>
              <w:t xml:space="preserve"> del 201</w:t>
            </w:r>
            <w:r w:rsidR="00EB5154">
              <w:rPr>
                <w:rFonts w:ascii="Verdana" w:eastAsia="Times New Roman" w:hAnsi="Verdana" w:cs="Times New Roman"/>
                <w:b/>
                <w:bCs/>
                <w:color w:val="000000"/>
                <w:sz w:val="22"/>
                <w:szCs w:val="22"/>
                <w:lang w:eastAsia="es-DO"/>
              </w:rPr>
              <w:t>6</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EF014A">
              <w:rPr>
                <w:rFonts w:ascii="Verdana" w:eastAsia="Calibri" w:hAnsi="Verdana"/>
                <w:b/>
                <w:sz w:val="22"/>
                <w:szCs w:val="22"/>
              </w:rPr>
              <w:t>04</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32067A" w:rsidRDefault="0032067A" w:rsidP="00D955BD">
      <w:pPr>
        <w:pStyle w:val="Sinespaciado"/>
      </w:pPr>
    </w:p>
    <w:p w:rsidR="00D955BD" w:rsidRPr="00443783" w:rsidRDefault="00D955BD" w:rsidP="00D955BD">
      <w:pPr>
        <w:pStyle w:val="Sinespaciado"/>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3E7E93">
        <w:rPr>
          <w:rFonts w:ascii="Verdana" w:eastAsia="Calibri" w:hAnsi="Verdana"/>
          <w:b/>
          <w:sz w:val="22"/>
          <w:szCs w:val="22"/>
        </w:rPr>
        <w:t>23</w:t>
      </w:r>
      <w:r w:rsidR="00E5658C" w:rsidRPr="00C67CF2">
        <w:rPr>
          <w:rFonts w:ascii="Verdana" w:eastAsia="Calibri" w:hAnsi="Verdana"/>
          <w:b/>
          <w:sz w:val="22"/>
          <w:szCs w:val="22"/>
        </w:rPr>
        <w:t xml:space="preserve"> de </w:t>
      </w:r>
      <w:r w:rsidR="00EF014A">
        <w:rPr>
          <w:rFonts w:ascii="Verdana" w:eastAsia="Times New Roman" w:hAnsi="Verdana" w:cs="Times New Roman"/>
          <w:b/>
          <w:bCs/>
          <w:color w:val="000000"/>
          <w:sz w:val="22"/>
          <w:szCs w:val="22"/>
          <w:lang w:eastAsia="es-DO"/>
        </w:rPr>
        <w:t>Febrero</w:t>
      </w:r>
      <w:r w:rsidR="00EB5154">
        <w:rPr>
          <w:rFonts w:ascii="Verdana" w:eastAsia="Calibri" w:hAnsi="Verdana"/>
          <w:b/>
          <w:sz w:val="22"/>
          <w:szCs w:val="22"/>
        </w:rPr>
        <w:t xml:space="preserve"> del 2016</w:t>
      </w:r>
      <w:r w:rsidR="00091847" w:rsidRPr="00C67CF2">
        <w:rPr>
          <w:rFonts w:ascii="Verdana" w:eastAsia="Calibri" w:hAnsi="Verdana"/>
          <w:b/>
          <w:sz w:val="22"/>
          <w:szCs w:val="22"/>
        </w:rPr>
        <w:t xml:space="preserve">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EF014A" w:rsidRDefault="00EF014A"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13946">
      <w:headerReference w:type="default" r:id="rId11"/>
      <w:footerReference w:type="default" r:id="rId12"/>
      <w:footerReference w:type="first" r:id="rId13"/>
      <w:pgSz w:w="12240" w:h="15840"/>
      <w:pgMar w:top="15" w:right="1041" w:bottom="851"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1F" w:rsidRDefault="00A3441F" w:rsidP="00EF0703">
      <w:pPr>
        <w:spacing w:after="0" w:line="240" w:lineRule="auto"/>
      </w:pPr>
      <w:r>
        <w:separator/>
      </w:r>
    </w:p>
  </w:endnote>
  <w:endnote w:type="continuationSeparator" w:id="0">
    <w:p w:rsidR="00A3441F" w:rsidRDefault="00A3441F"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3E7E9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1F" w:rsidRDefault="00A3441F" w:rsidP="00EF0703">
      <w:pPr>
        <w:spacing w:after="0" w:line="240" w:lineRule="auto"/>
      </w:pPr>
      <w:r>
        <w:separator/>
      </w:r>
    </w:p>
  </w:footnote>
  <w:footnote w:type="continuationSeparator" w:id="0">
    <w:p w:rsidR="00A3441F" w:rsidRDefault="00A3441F"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9F4693F" wp14:editId="30768AB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04AEF"/>
    <w:rsid w:val="0001176F"/>
    <w:rsid w:val="0002192E"/>
    <w:rsid w:val="00026CE8"/>
    <w:rsid w:val="00027DBE"/>
    <w:rsid w:val="00030C3B"/>
    <w:rsid w:val="00031A8A"/>
    <w:rsid w:val="000365F8"/>
    <w:rsid w:val="00046454"/>
    <w:rsid w:val="00052BD3"/>
    <w:rsid w:val="00057DA7"/>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1138E"/>
    <w:rsid w:val="0011468B"/>
    <w:rsid w:val="001161EF"/>
    <w:rsid w:val="0011641F"/>
    <w:rsid w:val="00143320"/>
    <w:rsid w:val="001566F6"/>
    <w:rsid w:val="00156C76"/>
    <w:rsid w:val="00162AB7"/>
    <w:rsid w:val="001641BC"/>
    <w:rsid w:val="0017019C"/>
    <w:rsid w:val="00170B17"/>
    <w:rsid w:val="00175EEB"/>
    <w:rsid w:val="00177307"/>
    <w:rsid w:val="00186EA0"/>
    <w:rsid w:val="00190373"/>
    <w:rsid w:val="001911E2"/>
    <w:rsid w:val="001B1055"/>
    <w:rsid w:val="001B60FA"/>
    <w:rsid w:val="001C4FF6"/>
    <w:rsid w:val="001D4BB3"/>
    <w:rsid w:val="001E33F9"/>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5C3A"/>
    <w:rsid w:val="00316F3C"/>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E7E93"/>
    <w:rsid w:val="003F6913"/>
    <w:rsid w:val="003F7F90"/>
    <w:rsid w:val="00400ED1"/>
    <w:rsid w:val="00416BAC"/>
    <w:rsid w:val="004175FD"/>
    <w:rsid w:val="0042529C"/>
    <w:rsid w:val="00426B3A"/>
    <w:rsid w:val="00426FE2"/>
    <w:rsid w:val="00431100"/>
    <w:rsid w:val="0043368F"/>
    <w:rsid w:val="00435666"/>
    <w:rsid w:val="00442C28"/>
    <w:rsid w:val="00443783"/>
    <w:rsid w:val="00461492"/>
    <w:rsid w:val="0046384C"/>
    <w:rsid w:val="00470351"/>
    <w:rsid w:val="00487BA3"/>
    <w:rsid w:val="004931CB"/>
    <w:rsid w:val="00495152"/>
    <w:rsid w:val="00496AEB"/>
    <w:rsid w:val="004974AE"/>
    <w:rsid w:val="004A0B61"/>
    <w:rsid w:val="004A13F6"/>
    <w:rsid w:val="004B309A"/>
    <w:rsid w:val="004B4446"/>
    <w:rsid w:val="004B4B41"/>
    <w:rsid w:val="004B5039"/>
    <w:rsid w:val="004B7EE7"/>
    <w:rsid w:val="004C17CF"/>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C29DE"/>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B5F"/>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94692"/>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CE3"/>
    <w:rsid w:val="0095537C"/>
    <w:rsid w:val="00962566"/>
    <w:rsid w:val="00966A7C"/>
    <w:rsid w:val="009719F7"/>
    <w:rsid w:val="00972F6A"/>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17995"/>
    <w:rsid w:val="00A23D10"/>
    <w:rsid w:val="00A318CB"/>
    <w:rsid w:val="00A3441F"/>
    <w:rsid w:val="00A42203"/>
    <w:rsid w:val="00A448E1"/>
    <w:rsid w:val="00A53717"/>
    <w:rsid w:val="00A65008"/>
    <w:rsid w:val="00A65AF5"/>
    <w:rsid w:val="00A71E7B"/>
    <w:rsid w:val="00A73011"/>
    <w:rsid w:val="00A734BB"/>
    <w:rsid w:val="00A9494D"/>
    <w:rsid w:val="00AA004B"/>
    <w:rsid w:val="00AA55D9"/>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763C5"/>
    <w:rsid w:val="00B84A7B"/>
    <w:rsid w:val="00B924AC"/>
    <w:rsid w:val="00B9572B"/>
    <w:rsid w:val="00B96A14"/>
    <w:rsid w:val="00B9754F"/>
    <w:rsid w:val="00BB0141"/>
    <w:rsid w:val="00BB5FDA"/>
    <w:rsid w:val="00BC55B3"/>
    <w:rsid w:val="00BC6044"/>
    <w:rsid w:val="00BC7006"/>
    <w:rsid w:val="00BD7954"/>
    <w:rsid w:val="00BE1E43"/>
    <w:rsid w:val="00BE3BEA"/>
    <w:rsid w:val="00C00BB5"/>
    <w:rsid w:val="00C017D0"/>
    <w:rsid w:val="00C051E8"/>
    <w:rsid w:val="00C1078B"/>
    <w:rsid w:val="00C1230A"/>
    <w:rsid w:val="00C141B5"/>
    <w:rsid w:val="00C15887"/>
    <w:rsid w:val="00C210E9"/>
    <w:rsid w:val="00C21201"/>
    <w:rsid w:val="00C3295D"/>
    <w:rsid w:val="00C36786"/>
    <w:rsid w:val="00C37B6C"/>
    <w:rsid w:val="00C52B31"/>
    <w:rsid w:val="00C52E11"/>
    <w:rsid w:val="00C533D7"/>
    <w:rsid w:val="00C53470"/>
    <w:rsid w:val="00C538EA"/>
    <w:rsid w:val="00C57F33"/>
    <w:rsid w:val="00C67CF2"/>
    <w:rsid w:val="00C73466"/>
    <w:rsid w:val="00C7515F"/>
    <w:rsid w:val="00C772F0"/>
    <w:rsid w:val="00C9178F"/>
    <w:rsid w:val="00CA4DC0"/>
    <w:rsid w:val="00CB411B"/>
    <w:rsid w:val="00CC4468"/>
    <w:rsid w:val="00CC5A26"/>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127D"/>
    <w:rsid w:val="00D844DC"/>
    <w:rsid w:val="00D955BD"/>
    <w:rsid w:val="00DA36FD"/>
    <w:rsid w:val="00DB3197"/>
    <w:rsid w:val="00DB4D78"/>
    <w:rsid w:val="00DD227C"/>
    <w:rsid w:val="00DE4012"/>
    <w:rsid w:val="00DE489A"/>
    <w:rsid w:val="00DF530F"/>
    <w:rsid w:val="00E0118B"/>
    <w:rsid w:val="00E06D7F"/>
    <w:rsid w:val="00E13328"/>
    <w:rsid w:val="00E13946"/>
    <w:rsid w:val="00E24EC6"/>
    <w:rsid w:val="00E2783D"/>
    <w:rsid w:val="00E339AF"/>
    <w:rsid w:val="00E47A02"/>
    <w:rsid w:val="00E52FAA"/>
    <w:rsid w:val="00E539DE"/>
    <w:rsid w:val="00E5658C"/>
    <w:rsid w:val="00E56D0E"/>
    <w:rsid w:val="00E6179B"/>
    <w:rsid w:val="00E672D8"/>
    <w:rsid w:val="00E7140F"/>
    <w:rsid w:val="00E7190E"/>
    <w:rsid w:val="00E72264"/>
    <w:rsid w:val="00E7649B"/>
    <w:rsid w:val="00E76DA5"/>
    <w:rsid w:val="00E8149D"/>
    <w:rsid w:val="00E87DF2"/>
    <w:rsid w:val="00E96D2F"/>
    <w:rsid w:val="00E97286"/>
    <w:rsid w:val="00E972AF"/>
    <w:rsid w:val="00E979BA"/>
    <w:rsid w:val="00EA054B"/>
    <w:rsid w:val="00EA678A"/>
    <w:rsid w:val="00EB5154"/>
    <w:rsid w:val="00EC2A8B"/>
    <w:rsid w:val="00EC2B2E"/>
    <w:rsid w:val="00EC4F5B"/>
    <w:rsid w:val="00ED0AFF"/>
    <w:rsid w:val="00ED72F3"/>
    <w:rsid w:val="00EE15B8"/>
    <w:rsid w:val="00EE3B0E"/>
    <w:rsid w:val="00EE647A"/>
    <w:rsid w:val="00EF014A"/>
    <w:rsid w:val="00EF0703"/>
    <w:rsid w:val="00EF07E2"/>
    <w:rsid w:val="00EF3E56"/>
    <w:rsid w:val="00F076EA"/>
    <w:rsid w:val="00F10619"/>
    <w:rsid w:val="00F1686D"/>
    <w:rsid w:val="00F21CFD"/>
    <w:rsid w:val="00F61A32"/>
    <w:rsid w:val="00F652F3"/>
    <w:rsid w:val="00F7178C"/>
    <w:rsid w:val="00F753B6"/>
    <w:rsid w:val="00F83D34"/>
    <w:rsid w:val="00F85A6A"/>
    <w:rsid w:val="00F95BAF"/>
    <w:rsid w:val="00FA65EB"/>
    <w:rsid w:val="00FB04F7"/>
    <w:rsid w:val="00FC1310"/>
    <w:rsid w:val="00FC3D1C"/>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529365499">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36465352">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A65A4"/>
    <w:rsid w:val="000D3BC3"/>
    <w:rsid w:val="000D49BF"/>
    <w:rsid w:val="001134EB"/>
    <w:rsid w:val="0015177A"/>
    <w:rsid w:val="001715EE"/>
    <w:rsid w:val="001A2622"/>
    <w:rsid w:val="00215D93"/>
    <w:rsid w:val="00216D29"/>
    <w:rsid w:val="002454BE"/>
    <w:rsid w:val="002B1F68"/>
    <w:rsid w:val="002C7BAE"/>
    <w:rsid w:val="003076FE"/>
    <w:rsid w:val="00325336"/>
    <w:rsid w:val="00332FC2"/>
    <w:rsid w:val="00370F5E"/>
    <w:rsid w:val="0037607E"/>
    <w:rsid w:val="003864CC"/>
    <w:rsid w:val="003D1DA7"/>
    <w:rsid w:val="00420E8C"/>
    <w:rsid w:val="004A7A0D"/>
    <w:rsid w:val="004B4940"/>
    <w:rsid w:val="004B5A75"/>
    <w:rsid w:val="004D599D"/>
    <w:rsid w:val="00503BD6"/>
    <w:rsid w:val="005311C4"/>
    <w:rsid w:val="005443AC"/>
    <w:rsid w:val="00544FB2"/>
    <w:rsid w:val="00561706"/>
    <w:rsid w:val="005B0267"/>
    <w:rsid w:val="005B4041"/>
    <w:rsid w:val="005B5634"/>
    <w:rsid w:val="00656DDB"/>
    <w:rsid w:val="006812E6"/>
    <w:rsid w:val="00692E5D"/>
    <w:rsid w:val="006A4829"/>
    <w:rsid w:val="006C15D9"/>
    <w:rsid w:val="006E0116"/>
    <w:rsid w:val="006E79C1"/>
    <w:rsid w:val="0072333F"/>
    <w:rsid w:val="007A5650"/>
    <w:rsid w:val="007A5EAF"/>
    <w:rsid w:val="007B6E4C"/>
    <w:rsid w:val="007F4341"/>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763A2"/>
    <w:rsid w:val="00CC4026"/>
    <w:rsid w:val="00CC5184"/>
    <w:rsid w:val="00CD7659"/>
    <w:rsid w:val="00CE094C"/>
    <w:rsid w:val="00CF68CD"/>
    <w:rsid w:val="00D3251B"/>
    <w:rsid w:val="00D7186B"/>
    <w:rsid w:val="00DA0F57"/>
    <w:rsid w:val="00DD2C78"/>
    <w:rsid w:val="00DD4362"/>
    <w:rsid w:val="00DF730E"/>
    <w:rsid w:val="00E04B47"/>
    <w:rsid w:val="00E31F74"/>
    <w:rsid w:val="00E916EE"/>
    <w:rsid w:val="00EB0051"/>
    <w:rsid w:val="00F27353"/>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EEF5-1EEA-47BD-9221-B2FD4154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1529</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8</cp:revision>
  <cp:lastPrinted>2015-11-04T14:19:00Z</cp:lastPrinted>
  <dcterms:created xsi:type="dcterms:W3CDTF">2016-02-01T15:09:00Z</dcterms:created>
  <dcterms:modified xsi:type="dcterms:W3CDTF">2016-02-12T17:54:00Z</dcterms:modified>
</cp:coreProperties>
</file>