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36" w:rsidRDefault="001A0F36" w:rsidP="001A0F36">
      <w:pPr>
        <w:pStyle w:val="Sinespaciado"/>
        <w:ind w:left="426"/>
        <w:rPr>
          <w:b/>
          <w:noProof/>
          <w:lang w:val="es-MX" w:eastAsia="es-D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4B0D83" wp14:editId="64521F5F">
            <wp:simplePos x="0" y="0"/>
            <wp:positionH relativeFrom="column">
              <wp:posOffset>2712085</wp:posOffset>
            </wp:positionH>
            <wp:positionV relativeFrom="paragraph">
              <wp:posOffset>81280</wp:posOffset>
            </wp:positionV>
            <wp:extent cx="942975" cy="931545"/>
            <wp:effectExtent l="0" t="0" r="9525" b="190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3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DO"/>
        </w:rPr>
        <w:drawing>
          <wp:inline distT="0" distB="0" distL="0" distR="0" wp14:anchorId="6BDB8242" wp14:editId="5F210F0B">
            <wp:extent cx="914400" cy="457200"/>
            <wp:effectExtent l="0" t="0" r="0" b="0"/>
            <wp:docPr id="2" name="Imagen 2" descr="C:\Users\drivera\Documents\LOGO MO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rivera\Documents\LOGO MOP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F36" w:rsidRDefault="001A0F36" w:rsidP="00F26499">
      <w:pPr>
        <w:pStyle w:val="Sinespaciado"/>
        <w:ind w:left="426"/>
        <w:jc w:val="center"/>
        <w:rPr>
          <w:b/>
          <w:noProof/>
          <w:lang w:val="es-MX" w:eastAsia="es-DO"/>
        </w:rPr>
      </w:pPr>
      <w:bookmarkStart w:id="0" w:name="_GoBack"/>
      <w:bookmarkEnd w:id="0"/>
    </w:p>
    <w:p w:rsidR="001A0F36" w:rsidRDefault="001A0F36" w:rsidP="001A0F36">
      <w:pPr>
        <w:pStyle w:val="Sinespaciado"/>
        <w:rPr>
          <w:b/>
          <w:noProof/>
          <w:lang w:val="es-MX" w:eastAsia="es-DO"/>
        </w:rPr>
      </w:pPr>
    </w:p>
    <w:p w:rsidR="001A0F36" w:rsidRDefault="001A0F36" w:rsidP="001A0F36">
      <w:pPr>
        <w:pStyle w:val="Sinespaciado"/>
        <w:ind w:left="426"/>
        <w:rPr>
          <w:b/>
          <w:noProof/>
          <w:lang w:val="es-MX" w:eastAsia="es-DO"/>
        </w:rPr>
      </w:pPr>
    </w:p>
    <w:p w:rsidR="000F726A" w:rsidRPr="00F26499" w:rsidRDefault="00F26499" w:rsidP="00F26499">
      <w:pPr>
        <w:pStyle w:val="Sinespaciado"/>
        <w:ind w:left="426"/>
        <w:jc w:val="center"/>
        <w:rPr>
          <w:b/>
          <w:noProof/>
          <w:lang w:val="es-MX" w:eastAsia="es-DO"/>
        </w:rPr>
      </w:pPr>
      <w:r w:rsidRPr="00F26499">
        <w:rPr>
          <w:b/>
          <w:noProof/>
          <w:lang w:val="es-MX" w:eastAsia="es-DO"/>
        </w:rPr>
        <w:t>REPÚBLICA DOMINICANA</w:t>
      </w:r>
    </w:p>
    <w:p w:rsidR="00F26499" w:rsidRDefault="00F26499" w:rsidP="00F26499">
      <w:pPr>
        <w:pStyle w:val="Sinespaciado"/>
        <w:jc w:val="center"/>
        <w:rPr>
          <w:noProof/>
          <w:sz w:val="32"/>
          <w:szCs w:val="32"/>
          <w:lang w:val="es-MX" w:eastAsia="es-DO"/>
        </w:rPr>
      </w:pPr>
      <w:r w:rsidRPr="00F26499">
        <w:rPr>
          <w:noProof/>
          <w:sz w:val="32"/>
          <w:szCs w:val="32"/>
          <w:lang w:val="es-MX" w:eastAsia="es-DO"/>
        </w:rPr>
        <w:t>MINISTERIO DE OBRAS PÚBLICAS Y COMUNICACIONES</w:t>
      </w:r>
    </w:p>
    <w:p w:rsidR="00F26499" w:rsidRDefault="00F26499" w:rsidP="00F26499">
      <w:pPr>
        <w:pStyle w:val="Sinespaciado"/>
        <w:jc w:val="center"/>
        <w:rPr>
          <w:noProof/>
          <w:lang w:val="es-MX" w:eastAsia="es-DO"/>
        </w:rPr>
      </w:pPr>
      <w:r w:rsidRPr="00F26499">
        <w:rPr>
          <w:noProof/>
          <w:lang w:val="es-MX" w:eastAsia="es-DO"/>
        </w:rPr>
        <w:t>“Año de la Atención a la Primera Infancia”</w:t>
      </w:r>
    </w:p>
    <w:p w:rsidR="00F26499" w:rsidRDefault="00F26499" w:rsidP="00F26499">
      <w:pPr>
        <w:pStyle w:val="Sinespaciado"/>
        <w:jc w:val="center"/>
        <w:rPr>
          <w:noProof/>
          <w:lang w:val="es-MX" w:eastAsia="es-DO"/>
        </w:rPr>
      </w:pPr>
    </w:p>
    <w:p w:rsidR="00F26499" w:rsidRPr="00F26499" w:rsidRDefault="00F26499" w:rsidP="00F26499">
      <w:pPr>
        <w:pStyle w:val="Sinespaciado"/>
        <w:jc w:val="right"/>
        <w:rPr>
          <w:noProof/>
          <w:sz w:val="24"/>
          <w:szCs w:val="24"/>
          <w:lang w:val="es-MX" w:eastAsia="es-DO"/>
        </w:rPr>
      </w:pPr>
      <w:r w:rsidRPr="00F26499">
        <w:rPr>
          <w:noProof/>
          <w:sz w:val="24"/>
          <w:szCs w:val="24"/>
          <w:lang w:val="es-MX" w:eastAsia="es-DO"/>
        </w:rPr>
        <w:t>23 de febrero del 2016</w:t>
      </w:r>
    </w:p>
    <w:p w:rsidR="00F26499" w:rsidRPr="00F26499" w:rsidRDefault="00F26499" w:rsidP="00F26499">
      <w:pPr>
        <w:pStyle w:val="Sinespaciado"/>
        <w:jc w:val="right"/>
        <w:rPr>
          <w:noProof/>
          <w:sz w:val="24"/>
          <w:szCs w:val="24"/>
          <w:lang w:val="es-MX" w:eastAsia="es-DO"/>
        </w:rPr>
      </w:pPr>
      <w:r w:rsidRPr="00F26499">
        <w:rPr>
          <w:noProof/>
          <w:sz w:val="24"/>
          <w:szCs w:val="24"/>
          <w:lang w:val="es-MX" w:eastAsia="es-DO"/>
        </w:rPr>
        <w:t>Santo Domingo, Rep. Dom.</w:t>
      </w:r>
    </w:p>
    <w:p w:rsidR="00F26499" w:rsidRPr="00F26499" w:rsidRDefault="00F26499" w:rsidP="00F26499">
      <w:pPr>
        <w:pStyle w:val="Sinespaciado"/>
        <w:jc w:val="right"/>
        <w:rPr>
          <w:noProof/>
          <w:sz w:val="24"/>
          <w:szCs w:val="24"/>
          <w:lang w:val="es-MX" w:eastAsia="es-DO"/>
        </w:rPr>
      </w:pPr>
    </w:p>
    <w:p w:rsidR="00F26499" w:rsidRDefault="00F26499" w:rsidP="008C3525">
      <w:pPr>
        <w:widowControl w:val="0"/>
        <w:autoSpaceDE w:val="0"/>
        <w:autoSpaceDN w:val="0"/>
        <w:adjustRightInd w:val="0"/>
        <w:spacing w:before="8" w:after="0" w:line="273" w:lineRule="exact"/>
        <w:ind w:left="284" w:right="49"/>
        <w:jc w:val="both"/>
        <w:rPr>
          <w:rFonts w:asciiTheme="minorHAnsi" w:eastAsiaTheme="minorHAnsi" w:hAnsiTheme="minorHAnsi" w:cstheme="minorBidi"/>
          <w:noProof/>
          <w:sz w:val="24"/>
          <w:szCs w:val="24"/>
          <w:lang w:val="es-MX"/>
        </w:rPr>
      </w:pPr>
      <w:r w:rsidRPr="00F26499">
        <w:rPr>
          <w:rFonts w:asciiTheme="minorHAnsi" w:eastAsiaTheme="minorHAnsi" w:hAnsiTheme="minorHAnsi" w:cstheme="minorBidi"/>
          <w:noProof/>
          <w:sz w:val="24"/>
          <w:szCs w:val="24"/>
          <w:lang w:val="es-MX"/>
        </w:rPr>
        <w:t xml:space="preserve">Por esta vía se les informa a los interesados en participar en la </w:t>
      </w:r>
      <w:r>
        <w:rPr>
          <w:rFonts w:asciiTheme="minorHAnsi" w:eastAsiaTheme="minorHAnsi" w:hAnsiTheme="minorHAnsi" w:cstheme="minorBidi"/>
          <w:noProof/>
          <w:sz w:val="24"/>
          <w:szCs w:val="24"/>
          <w:lang w:val="es-MX"/>
        </w:rPr>
        <w:t xml:space="preserve">Comparación de Precios de referencia MOPC-CCC-CP-004-2016 de Rotulación de unidades vehiculares, materiales reflectivos y detector de metales, </w:t>
      </w:r>
      <w:r w:rsidRPr="00F26499">
        <w:rPr>
          <w:rFonts w:asciiTheme="minorHAnsi" w:eastAsiaTheme="minorHAnsi" w:hAnsiTheme="minorHAnsi" w:cstheme="minorBidi"/>
          <w:noProof/>
          <w:sz w:val="24"/>
          <w:szCs w:val="24"/>
          <w:lang w:val="es-MX"/>
        </w:rPr>
        <w:t>las sigui</w:t>
      </w:r>
      <w:r>
        <w:rPr>
          <w:rFonts w:asciiTheme="minorHAnsi" w:eastAsiaTheme="minorHAnsi" w:hAnsiTheme="minorHAnsi" w:cstheme="minorBidi"/>
          <w:noProof/>
          <w:sz w:val="24"/>
          <w:szCs w:val="24"/>
          <w:lang w:val="es-MX"/>
        </w:rPr>
        <w:t xml:space="preserve">entes modificaciones al Pliego </w:t>
      </w:r>
      <w:r w:rsidRPr="00F26499">
        <w:rPr>
          <w:rFonts w:asciiTheme="minorHAnsi" w:eastAsiaTheme="minorHAnsi" w:hAnsiTheme="minorHAnsi" w:cstheme="minorBidi"/>
          <w:noProof/>
          <w:sz w:val="24"/>
          <w:szCs w:val="24"/>
          <w:lang w:val="es-MX"/>
        </w:rPr>
        <w:t>de Condiciones</w:t>
      </w:r>
      <w:r>
        <w:rPr>
          <w:rFonts w:asciiTheme="minorHAnsi" w:eastAsiaTheme="minorHAnsi" w:hAnsiTheme="minorHAnsi" w:cstheme="minorBidi"/>
          <w:noProof/>
          <w:sz w:val="24"/>
          <w:szCs w:val="24"/>
          <w:lang w:val="es-MX"/>
        </w:rPr>
        <w:t xml:space="preserve"> que fuera publicado en fecha 19 de febrero de 2016</w:t>
      </w:r>
      <w:r w:rsidRPr="00F26499">
        <w:rPr>
          <w:rFonts w:asciiTheme="minorHAnsi" w:eastAsiaTheme="minorHAnsi" w:hAnsiTheme="minorHAnsi" w:cstheme="minorBidi"/>
          <w:noProof/>
          <w:sz w:val="24"/>
          <w:szCs w:val="24"/>
          <w:lang w:val="es-MX"/>
        </w:rPr>
        <w:t>, pa</w:t>
      </w:r>
      <w:r>
        <w:rPr>
          <w:rFonts w:asciiTheme="minorHAnsi" w:eastAsiaTheme="minorHAnsi" w:hAnsiTheme="minorHAnsi" w:cstheme="minorBidi"/>
          <w:noProof/>
          <w:sz w:val="24"/>
          <w:szCs w:val="24"/>
          <w:lang w:val="es-MX"/>
        </w:rPr>
        <w:t>ra que a partir de la presente fecha e</w:t>
      </w:r>
      <w:r w:rsidR="005A05A5">
        <w:rPr>
          <w:rFonts w:asciiTheme="minorHAnsi" w:eastAsiaTheme="minorHAnsi" w:hAnsiTheme="minorHAnsi" w:cstheme="minorBidi"/>
          <w:noProof/>
          <w:sz w:val="24"/>
          <w:szCs w:val="24"/>
          <w:lang w:val="es-MX"/>
        </w:rPr>
        <w:t>n e</w:t>
      </w:r>
      <w:r>
        <w:rPr>
          <w:rFonts w:asciiTheme="minorHAnsi" w:eastAsiaTheme="minorHAnsi" w:hAnsiTheme="minorHAnsi" w:cstheme="minorBidi"/>
          <w:noProof/>
          <w:sz w:val="24"/>
          <w:szCs w:val="24"/>
          <w:lang w:val="es-MX"/>
        </w:rPr>
        <w:t>l</w:t>
      </w:r>
      <w:r w:rsidR="005A05A5">
        <w:rPr>
          <w:rFonts w:asciiTheme="minorHAnsi" w:eastAsiaTheme="minorHAnsi" w:hAnsiTheme="minorHAnsi" w:cstheme="minorBidi"/>
          <w:noProof/>
          <w:sz w:val="24"/>
          <w:szCs w:val="24"/>
          <w:lang w:val="es-MX"/>
        </w:rPr>
        <w:t xml:space="preserve"> Ítem 12 del</w:t>
      </w:r>
      <w:r>
        <w:rPr>
          <w:rFonts w:asciiTheme="minorHAnsi" w:eastAsiaTheme="minorHAnsi" w:hAnsiTheme="minorHAnsi" w:cstheme="minorBidi"/>
          <w:noProof/>
          <w:sz w:val="24"/>
          <w:szCs w:val="24"/>
          <w:lang w:val="es-MX"/>
        </w:rPr>
        <w:t xml:space="preserve"> Numeral 1.4 “Requerimiento</w:t>
      </w:r>
      <w:r w:rsidRPr="00F26499">
        <w:rPr>
          <w:rFonts w:asciiTheme="minorHAnsi" w:eastAsiaTheme="minorHAnsi" w:hAnsiTheme="minorHAnsi" w:cstheme="minorBidi"/>
          <w:noProof/>
          <w:sz w:val="24"/>
          <w:szCs w:val="24"/>
          <w:lang w:val="es-MX"/>
        </w:rPr>
        <w:t>”</w:t>
      </w:r>
      <w:r w:rsidR="005A05A5">
        <w:rPr>
          <w:rFonts w:asciiTheme="minorHAnsi" w:eastAsiaTheme="minorHAnsi" w:hAnsiTheme="minorHAnsi" w:cstheme="minorBidi"/>
          <w:noProof/>
          <w:sz w:val="24"/>
          <w:szCs w:val="24"/>
          <w:lang w:val="es-MX"/>
        </w:rPr>
        <w:t xml:space="preserve"> </w:t>
      </w:r>
      <w:r w:rsidRPr="00F26499">
        <w:rPr>
          <w:rFonts w:asciiTheme="minorHAnsi" w:eastAsiaTheme="minorHAnsi" w:hAnsiTheme="minorHAnsi" w:cstheme="minorBidi"/>
          <w:noProof/>
          <w:sz w:val="24"/>
          <w:szCs w:val="24"/>
          <w:lang w:val="es-MX"/>
        </w:rPr>
        <w:t xml:space="preserve">del referido </w:t>
      </w:r>
      <w:r>
        <w:rPr>
          <w:rFonts w:asciiTheme="minorHAnsi" w:eastAsiaTheme="minorHAnsi" w:hAnsiTheme="minorHAnsi" w:cstheme="minorBidi"/>
          <w:noProof/>
          <w:sz w:val="24"/>
          <w:szCs w:val="24"/>
          <w:lang w:val="es-MX"/>
        </w:rPr>
        <w:t>pliego  se lea de la manera en que se indica a continuación:</w:t>
      </w:r>
    </w:p>
    <w:p w:rsidR="00F26499" w:rsidRPr="00F26499" w:rsidRDefault="00F26499" w:rsidP="00F26499">
      <w:pPr>
        <w:widowControl w:val="0"/>
        <w:autoSpaceDE w:val="0"/>
        <w:autoSpaceDN w:val="0"/>
        <w:adjustRightInd w:val="0"/>
        <w:spacing w:before="8" w:after="0" w:line="273" w:lineRule="exact"/>
        <w:ind w:right="49"/>
        <w:jc w:val="both"/>
        <w:rPr>
          <w:rFonts w:asciiTheme="minorHAnsi" w:eastAsiaTheme="minorHAnsi" w:hAnsiTheme="minorHAnsi" w:cstheme="minorBidi"/>
          <w:noProof/>
          <w:sz w:val="24"/>
          <w:szCs w:val="24"/>
          <w:lang w:val="es-MX"/>
        </w:rPr>
      </w:pPr>
    </w:p>
    <w:tbl>
      <w:tblPr>
        <w:tblW w:w="9470" w:type="dxa"/>
        <w:jc w:val="center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"/>
        <w:gridCol w:w="5689"/>
        <w:gridCol w:w="1337"/>
        <w:gridCol w:w="1442"/>
      </w:tblGrid>
      <w:tr w:rsidR="00F26499" w:rsidRPr="00F26499" w:rsidTr="005A05A5">
        <w:trPr>
          <w:trHeight w:val="545"/>
          <w:jc w:val="center"/>
        </w:trPr>
        <w:tc>
          <w:tcPr>
            <w:tcW w:w="1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46D0A"/>
            <w:vAlign w:val="center"/>
            <w:hideMark/>
          </w:tcPr>
          <w:p w:rsidR="00F26499" w:rsidRPr="00F26499" w:rsidRDefault="00F26499" w:rsidP="00F2649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</w:pPr>
            <w:r w:rsidRPr="00F26499">
              <w:rPr>
                <w:rFonts w:ascii="Verdana" w:hAnsi="Verdana"/>
                <w:b/>
                <w:bCs/>
                <w:color w:val="000000"/>
                <w:sz w:val="21"/>
                <w:szCs w:val="21"/>
              </w:rPr>
              <w:t>Ítems</w:t>
            </w:r>
          </w:p>
        </w:tc>
        <w:tc>
          <w:tcPr>
            <w:tcW w:w="5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6D0A"/>
            <w:vAlign w:val="center"/>
            <w:hideMark/>
          </w:tcPr>
          <w:p w:rsidR="00F26499" w:rsidRPr="00F26499" w:rsidRDefault="00F26499" w:rsidP="00F2649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F26499">
              <w:rPr>
                <w:rFonts w:ascii="Verdana" w:hAnsi="Verdana"/>
                <w:b/>
                <w:bCs/>
                <w:color w:val="000000"/>
              </w:rPr>
              <w:t xml:space="preserve">Descripción 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46D0A"/>
            <w:vAlign w:val="center"/>
            <w:hideMark/>
          </w:tcPr>
          <w:p w:rsidR="00F26499" w:rsidRPr="00F26499" w:rsidRDefault="00F26499" w:rsidP="00F2649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F26499">
              <w:rPr>
                <w:rFonts w:ascii="Verdana" w:hAnsi="Verdana"/>
                <w:b/>
                <w:bCs/>
                <w:color w:val="000000"/>
              </w:rPr>
              <w:t>Unidad de medida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46D0A"/>
            <w:vAlign w:val="center"/>
            <w:hideMark/>
          </w:tcPr>
          <w:p w:rsidR="00F26499" w:rsidRPr="00F26499" w:rsidRDefault="00F26499" w:rsidP="00F26499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F26499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Cantidad</w:t>
            </w:r>
          </w:p>
        </w:tc>
      </w:tr>
      <w:tr w:rsidR="00F26499" w:rsidRPr="00F26499" w:rsidTr="005A05A5">
        <w:trPr>
          <w:trHeight w:val="251"/>
          <w:jc w:val="center"/>
        </w:trPr>
        <w:tc>
          <w:tcPr>
            <w:tcW w:w="10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499" w:rsidRPr="00F26499" w:rsidRDefault="00F26499" w:rsidP="00F26499">
            <w:pPr>
              <w:spacing w:after="0" w:line="240" w:lineRule="auto"/>
              <w:jc w:val="center"/>
              <w:rPr>
                <w:rFonts w:ascii="Verdana" w:hAnsi="Verdana" w:cs="Arial"/>
                <w:lang w:eastAsia="es-ES"/>
              </w:rPr>
            </w:pPr>
            <w:r w:rsidRPr="00F26499">
              <w:rPr>
                <w:rFonts w:ascii="Verdana" w:hAnsi="Verdana" w:cs="Arial"/>
                <w:lang w:eastAsia="es-ES"/>
              </w:rPr>
              <w:t>12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499" w:rsidRPr="00F26499" w:rsidRDefault="00F26499" w:rsidP="00F26499">
            <w:pPr>
              <w:spacing w:after="0" w:line="240" w:lineRule="auto"/>
              <w:rPr>
                <w:rFonts w:ascii="Verdana" w:hAnsi="Verdana" w:cs="Arial"/>
                <w:lang w:eastAsia="es-ES"/>
              </w:rPr>
            </w:pPr>
            <w:r w:rsidRPr="00F26499">
              <w:rPr>
                <w:rFonts w:ascii="Verdana" w:hAnsi="Verdana" w:cs="Arial"/>
                <w:lang w:eastAsia="es-ES"/>
              </w:rPr>
              <w:t>Sistema de Detección de Metales para marco o ar</w:t>
            </w:r>
            <w:r w:rsidR="005A05A5">
              <w:rPr>
                <w:rFonts w:ascii="Verdana" w:hAnsi="Verdana" w:cs="Arial"/>
                <w:lang w:eastAsia="es-ES"/>
              </w:rPr>
              <w:t xml:space="preserve">co de puerta </w:t>
            </w:r>
            <w:r w:rsidR="005A05A5" w:rsidRPr="005A05A5">
              <w:rPr>
                <w:rFonts w:ascii="Verdana" w:hAnsi="Verdana" w:cs="Arial"/>
                <w:color w:val="FF0000"/>
                <w:lang w:eastAsia="es-ES"/>
              </w:rPr>
              <w:t>con instalación incluida con las siguientes características:</w:t>
            </w:r>
          </w:p>
          <w:p w:rsidR="00F26499" w:rsidRPr="00F26499" w:rsidRDefault="00F26499" w:rsidP="00F26499">
            <w:pPr>
              <w:numPr>
                <w:ilvl w:val="0"/>
                <w:numId w:val="1"/>
              </w:numPr>
              <w:spacing w:after="0" w:line="240" w:lineRule="auto"/>
              <w:ind w:left="355" w:hanging="284"/>
              <w:contextualSpacing/>
              <w:rPr>
                <w:rFonts w:ascii="Verdana" w:hAnsi="Verdana" w:cs="Arial"/>
                <w:lang w:eastAsia="es-ES"/>
              </w:rPr>
            </w:pPr>
            <w:r w:rsidRPr="00F26499">
              <w:rPr>
                <w:rFonts w:ascii="Verdana" w:hAnsi="Verdana" w:cs="Arial"/>
                <w:lang w:eastAsia="es-ES"/>
              </w:rPr>
              <w:t>Detección de 6 áreas corporales</w:t>
            </w:r>
          </w:p>
          <w:p w:rsidR="00F26499" w:rsidRPr="00F26499" w:rsidRDefault="00F26499" w:rsidP="00F26499">
            <w:pPr>
              <w:numPr>
                <w:ilvl w:val="0"/>
                <w:numId w:val="1"/>
              </w:numPr>
              <w:spacing w:after="0" w:line="240" w:lineRule="auto"/>
              <w:ind w:left="355" w:hanging="284"/>
              <w:contextualSpacing/>
              <w:rPr>
                <w:rFonts w:ascii="Verdana" w:hAnsi="Verdana" w:cs="Arial"/>
                <w:lang w:eastAsia="es-ES"/>
              </w:rPr>
            </w:pPr>
            <w:r w:rsidRPr="00F26499">
              <w:rPr>
                <w:rFonts w:ascii="Verdana" w:hAnsi="Verdana" w:cs="Arial"/>
                <w:lang w:eastAsia="es-ES"/>
              </w:rPr>
              <w:t xml:space="preserve">Indicadores de luz y sonido </w:t>
            </w:r>
          </w:p>
          <w:p w:rsidR="00F26499" w:rsidRPr="00F26499" w:rsidRDefault="00F26499" w:rsidP="00F26499">
            <w:pPr>
              <w:numPr>
                <w:ilvl w:val="0"/>
                <w:numId w:val="1"/>
              </w:numPr>
              <w:spacing w:after="0" w:line="240" w:lineRule="auto"/>
              <w:ind w:left="355" w:hanging="284"/>
              <w:contextualSpacing/>
              <w:rPr>
                <w:rFonts w:ascii="Verdana" w:hAnsi="Verdana" w:cs="Arial"/>
                <w:lang w:eastAsia="es-ES"/>
              </w:rPr>
            </w:pPr>
            <w:r w:rsidRPr="00F26499">
              <w:rPr>
                <w:rFonts w:ascii="Verdana" w:hAnsi="Verdana" w:cs="Arial"/>
                <w:lang w:eastAsia="es-ES"/>
              </w:rPr>
              <w:t>Funcionamiento en 110V</w:t>
            </w:r>
          </w:p>
          <w:p w:rsidR="00F26499" w:rsidRPr="00F26499" w:rsidRDefault="00F26499" w:rsidP="00F26499">
            <w:pPr>
              <w:numPr>
                <w:ilvl w:val="0"/>
                <w:numId w:val="1"/>
              </w:numPr>
              <w:spacing w:after="0" w:line="240" w:lineRule="auto"/>
              <w:ind w:left="355" w:hanging="284"/>
              <w:contextualSpacing/>
              <w:rPr>
                <w:rFonts w:ascii="Verdana" w:hAnsi="Verdana" w:cs="Arial"/>
                <w:lang w:eastAsia="es-ES"/>
              </w:rPr>
            </w:pPr>
            <w:r w:rsidRPr="00F26499">
              <w:rPr>
                <w:rFonts w:ascii="Verdana" w:hAnsi="Verdana" w:cs="Arial"/>
                <w:lang w:eastAsia="es-ES"/>
              </w:rPr>
              <w:t>Ajuste de sensibilidad según artículos a requisar</w:t>
            </w:r>
          </w:p>
          <w:p w:rsidR="00F26499" w:rsidRPr="00F26499" w:rsidRDefault="00F26499" w:rsidP="00F26499">
            <w:pPr>
              <w:numPr>
                <w:ilvl w:val="0"/>
                <w:numId w:val="1"/>
              </w:numPr>
              <w:spacing w:after="0" w:line="240" w:lineRule="auto"/>
              <w:ind w:left="355" w:hanging="284"/>
              <w:contextualSpacing/>
              <w:rPr>
                <w:rFonts w:ascii="Verdana" w:hAnsi="Verdana" w:cs="Arial"/>
                <w:lang w:eastAsia="es-ES"/>
              </w:rPr>
            </w:pPr>
            <w:r w:rsidRPr="00F26499">
              <w:rPr>
                <w:rFonts w:ascii="Verdana" w:hAnsi="Verdana" w:cs="Arial"/>
                <w:lang w:eastAsia="es-ES"/>
              </w:rPr>
              <w:t>Volumen ajustable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499" w:rsidRPr="00F26499" w:rsidRDefault="00F26499" w:rsidP="00F26499">
            <w:pPr>
              <w:spacing w:after="0" w:line="240" w:lineRule="auto"/>
              <w:jc w:val="center"/>
              <w:rPr>
                <w:rFonts w:ascii="Verdana" w:hAnsi="Verdana" w:cs="Arial"/>
                <w:lang w:eastAsia="es-ES"/>
              </w:rPr>
            </w:pPr>
            <w:r w:rsidRPr="00F26499">
              <w:rPr>
                <w:rFonts w:ascii="Verdana" w:hAnsi="Verdana" w:cs="Arial"/>
                <w:lang w:eastAsia="es-ES"/>
              </w:rPr>
              <w:t>Unidad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6499" w:rsidRPr="00F26499" w:rsidRDefault="00F26499" w:rsidP="00F26499">
            <w:pPr>
              <w:spacing w:after="0" w:line="240" w:lineRule="auto"/>
              <w:jc w:val="center"/>
              <w:rPr>
                <w:rFonts w:ascii="Verdana" w:hAnsi="Verdana" w:cs="Arial"/>
                <w:lang w:eastAsia="es-ES"/>
              </w:rPr>
            </w:pPr>
            <w:r w:rsidRPr="00F26499">
              <w:rPr>
                <w:rFonts w:ascii="Verdana" w:hAnsi="Verdana" w:cs="Arial"/>
                <w:lang w:eastAsia="es-ES"/>
              </w:rPr>
              <w:t>2</w:t>
            </w:r>
          </w:p>
        </w:tc>
      </w:tr>
    </w:tbl>
    <w:p w:rsidR="005A05A5" w:rsidRDefault="005A05A5" w:rsidP="005A05A5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 Narrow"/>
          <w:color w:val="FF0000"/>
          <w:sz w:val="24"/>
          <w:szCs w:val="24"/>
          <w:lang w:eastAsia="en-US"/>
        </w:rPr>
      </w:pPr>
      <w:r>
        <w:rPr>
          <w:rFonts w:ascii="Arial Narrow" w:eastAsiaTheme="minorHAnsi" w:hAnsi="Arial Narrow" w:cs="Arial Narrow"/>
          <w:color w:val="FF0000"/>
          <w:sz w:val="24"/>
          <w:szCs w:val="24"/>
          <w:lang w:eastAsia="en-US"/>
        </w:rPr>
        <w:t>Los cambios realiz</w:t>
      </w:r>
      <w:r>
        <w:rPr>
          <w:rFonts w:ascii="Arial Narrow" w:eastAsiaTheme="minorHAnsi" w:hAnsi="Arial Narrow" w:cs="Arial Narrow"/>
          <w:color w:val="FF0000"/>
          <w:sz w:val="24"/>
          <w:szCs w:val="24"/>
          <w:lang w:eastAsia="en-US"/>
        </w:rPr>
        <w:t xml:space="preserve">ados en la presente enmienda al Ítem de esta Comparación de Precios </w:t>
      </w:r>
      <w:r>
        <w:rPr>
          <w:rFonts w:ascii="Arial Narrow" w:eastAsiaTheme="minorHAnsi" w:hAnsi="Arial Narrow" w:cs="Arial Narrow"/>
          <w:color w:val="FF0000"/>
          <w:sz w:val="24"/>
          <w:szCs w:val="24"/>
          <w:lang w:eastAsia="en-US"/>
        </w:rPr>
        <w:t>están señalados en</w:t>
      </w:r>
    </w:p>
    <w:p w:rsidR="00F26499" w:rsidRDefault="005A05A5" w:rsidP="005A05A5">
      <w:pPr>
        <w:pStyle w:val="Sinespaciado"/>
        <w:rPr>
          <w:rFonts w:ascii="Arial Narrow" w:hAnsi="Arial Narrow" w:cs="Arial Narrow"/>
          <w:color w:val="FF0000"/>
          <w:sz w:val="24"/>
          <w:szCs w:val="24"/>
        </w:rPr>
      </w:pPr>
      <w:proofErr w:type="gramStart"/>
      <w:r>
        <w:rPr>
          <w:rFonts w:ascii="Arial Narrow" w:hAnsi="Arial Narrow" w:cs="Arial Narrow"/>
          <w:color w:val="FF0000"/>
          <w:sz w:val="24"/>
          <w:szCs w:val="24"/>
        </w:rPr>
        <w:t>color</w:t>
      </w:r>
      <w:proofErr w:type="gramEnd"/>
      <w:r>
        <w:rPr>
          <w:rFonts w:ascii="Arial Narrow" w:hAnsi="Arial Narrow" w:cs="Arial Narrow"/>
          <w:color w:val="FF0000"/>
          <w:sz w:val="24"/>
          <w:szCs w:val="24"/>
        </w:rPr>
        <w:t xml:space="preserve"> rojo.</w:t>
      </w:r>
    </w:p>
    <w:p w:rsidR="008C3525" w:rsidRDefault="008C3525" w:rsidP="005A05A5">
      <w:pPr>
        <w:pStyle w:val="Sinespaciado"/>
        <w:rPr>
          <w:rFonts w:ascii="Arial Narrow" w:hAnsi="Arial Narrow" w:cs="Arial Narrow"/>
          <w:color w:val="FF0000"/>
          <w:sz w:val="24"/>
          <w:szCs w:val="24"/>
        </w:rPr>
      </w:pPr>
    </w:p>
    <w:p w:rsidR="008C3525" w:rsidRDefault="008C3525" w:rsidP="005A05A5">
      <w:pPr>
        <w:pStyle w:val="Sinespaciado"/>
        <w:rPr>
          <w:rFonts w:ascii="Arial Narrow" w:hAnsi="Arial Narrow" w:cs="Arial Narrow"/>
          <w:color w:val="FF0000"/>
          <w:sz w:val="24"/>
          <w:szCs w:val="24"/>
        </w:rPr>
      </w:pPr>
    </w:p>
    <w:p w:rsidR="008C3525" w:rsidRDefault="008C3525" w:rsidP="005A05A5">
      <w:pPr>
        <w:pStyle w:val="Sinespaciado"/>
        <w:rPr>
          <w:rFonts w:ascii="Arial Narrow" w:hAnsi="Arial Narrow" w:cs="Arial Narrow"/>
          <w:color w:val="FF0000"/>
          <w:sz w:val="24"/>
          <w:szCs w:val="24"/>
        </w:rPr>
      </w:pPr>
    </w:p>
    <w:p w:rsidR="008C3525" w:rsidRDefault="008C3525" w:rsidP="005A05A5">
      <w:pPr>
        <w:pStyle w:val="Sinespaciado"/>
        <w:rPr>
          <w:rFonts w:ascii="Arial Narrow" w:hAnsi="Arial Narrow" w:cs="Arial Narrow"/>
          <w:color w:val="FF0000"/>
          <w:sz w:val="24"/>
          <w:szCs w:val="24"/>
        </w:rPr>
      </w:pPr>
    </w:p>
    <w:p w:rsidR="008C3525" w:rsidRPr="008C3525" w:rsidRDefault="008C3525" w:rsidP="008C3525">
      <w:pPr>
        <w:pStyle w:val="Sinespaciado"/>
        <w:jc w:val="center"/>
        <w:rPr>
          <w:noProof/>
          <w:sz w:val="24"/>
          <w:szCs w:val="24"/>
          <w:lang w:val="es-MX" w:eastAsia="es-DO"/>
        </w:rPr>
      </w:pPr>
      <w:r w:rsidRPr="008C3525">
        <w:rPr>
          <w:noProof/>
          <w:sz w:val="24"/>
          <w:szCs w:val="24"/>
          <w:lang w:val="es-MX" w:eastAsia="es-DO"/>
        </w:rPr>
        <w:t>Lic. Juan Carlos Mejía Molina</w:t>
      </w:r>
    </w:p>
    <w:p w:rsidR="008C3525" w:rsidRPr="008C3525" w:rsidRDefault="008C3525" w:rsidP="008C3525">
      <w:pPr>
        <w:pStyle w:val="Sinespaciado"/>
        <w:jc w:val="center"/>
        <w:rPr>
          <w:noProof/>
          <w:sz w:val="24"/>
          <w:szCs w:val="24"/>
          <w:lang w:val="es-MX" w:eastAsia="es-DO"/>
        </w:rPr>
      </w:pPr>
      <w:r w:rsidRPr="008C3525">
        <w:rPr>
          <w:noProof/>
          <w:sz w:val="24"/>
          <w:szCs w:val="24"/>
          <w:lang w:val="es-MX" w:eastAsia="es-DO"/>
        </w:rPr>
        <w:t>Sub-Director de Compras</w:t>
      </w:r>
    </w:p>
    <w:sectPr w:rsidR="008C3525" w:rsidRPr="008C3525" w:rsidSect="008C3525">
      <w:pgSz w:w="12240" w:h="15840"/>
      <w:pgMar w:top="1417" w:right="1325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E63B8"/>
    <w:multiLevelType w:val="hybridMultilevel"/>
    <w:tmpl w:val="C360BBA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99"/>
    <w:rsid w:val="000F726A"/>
    <w:rsid w:val="001A0F36"/>
    <w:rsid w:val="005A05A5"/>
    <w:rsid w:val="008C3525"/>
    <w:rsid w:val="00F2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499"/>
    <w:rPr>
      <w:rFonts w:ascii="Calibri" w:eastAsia="Times New Roman" w:hAnsi="Calibri" w:cs="Times New Roman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49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264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499"/>
    <w:rPr>
      <w:rFonts w:ascii="Calibri" w:eastAsia="Times New Roman" w:hAnsi="Calibri" w:cs="Times New Roman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49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264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Doris Analia Rivera Mejia</dc:creator>
  <cp:lastModifiedBy>Doris Analia Rivera Mejia</cp:lastModifiedBy>
  <cp:revision>2</cp:revision>
  <dcterms:created xsi:type="dcterms:W3CDTF">2016-02-23T19:43:00Z</dcterms:created>
  <dcterms:modified xsi:type="dcterms:W3CDTF">2016-02-23T20:08:00Z</dcterms:modified>
</cp:coreProperties>
</file>